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71A" w:rsidRPr="00C51A8A" w:rsidRDefault="00AC271A">
      <w:pPr>
        <w:jc w:val="center"/>
        <w:rPr>
          <w:b/>
          <w:sz w:val="22"/>
          <w:szCs w:val="22"/>
        </w:rPr>
      </w:pPr>
      <w:r w:rsidRPr="00C51A8A">
        <w:rPr>
          <w:b/>
          <w:sz w:val="22"/>
          <w:szCs w:val="22"/>
        </w:rPr>
        <w:t>Welcome to</w:t>
      </w:r>
      <w:r w:rsidR="00105D83">
        <w:rPr>
          <w:b/>
          <w:sz w:val="22"/>
          <w:szCs w:val="22"/>
        </w:rPr>
        <w:t>:</w:t>
      </w:r>
    </w:p>
    <w:p w:rsidR="00AC271A" w:rsidRPr="00C51A8A" w:rsidRDefault="00A55923">
      <w:pPr>
        <w:jc w:val="center"/>
        <w:rPr>
          <w:b/>
          <w:sz w:val="22"/>
          <w:szCs w:val="22"/>
        </w:rPr>
      </w:pPr>
      <w:r>
        <w:rPr>
          <w:b/>
          <w:sz w:val="22"/>
          <w:szCs w:val="22"/>
        </w:rPr>
        <w:t>Juvenile Justice JUS 171</w:t>
      </w:r>
    </w:p>
    <w:p w:rsidR="002173AC" w:rsidRDefault="00A55923">
      <w:pPr>
        <w:jc w:val="center"/>
        <w:rPr>
          <w:b/>
          <w:sz w:val="22"/>
          <w:szCs w:val="22"/>
        </w:rPr>
      </w:pPr>
      <w:r>
        <w:rPr>
          <w:b/>
          <w:sz w:val="22"/>
          <w:szCs w:val="22"/>
        </w:rPr>
        <w:t xml:space="preserve">Canvas </w:t>
      </w:r>
      <w:r w:rsidR="00BC7367">
        <w:rPr>
          <w:b/>
          <w:sz w:val="22"/>
          <w:szCs w:val="22"/>
        </w:rPr>
        <w:t xml:space="preserve">Course </w:t>
      </w:r>
      <w:bookmarkStart w:id="0" w:name="_GoBack"/>
      <w:bookmarkEnd w:id="0"/>
    </w:p>
    <w:p w:rsidR="00AC271A" w:rsidRPr="00C51A8A" w:rsidRDefault="000C5CD8">
      <w:pPr>
        <w:jc w:val="center"/>
        <w:rPr>
          <w:b/>
          <w:sz w:val="22"/>
          <w:szCs w:val="22"/>
        </w:rPr>
      </w:pPr>
      <w:r>
        <w:rPr>
          <w:noProof/>
          <w:sz w:val="22"/>
          <w:szCs w:val="22"/>
        </w:rPr>
        <w:drawing>
          <wp:anchor distT="0" distB="0" distL="114300" distR="114300" simplePos="0" relativeHeight="251657728" behindDoc="1" locked="0" layoutInCell="1" allowOverlap="1">
            <wp:simplePos x="0" y="0"/>
            <wp:positionH relativeFrom="column">
              <wp:posOffset>1257300</wp:posOffset>
            </wp:positionH>
            <wp:positionV relativeFrom="paragraph">
              <wp:posOffset>67310</wp:posOffset>
            </wp:positionV>
            <wp:extent cx="4000500" cy="504825"/>
            <wp:effectExtent l="0" t="0" r="0" b="9525"/>
            <wp:wrapNone/>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4000500" cy="504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C271A" w:rsidRPr="00C51A8A" w:rsidRDefault="00AC271A">
      <w:pPr>
        <w:jc w:val="center"/>
        <w:rPr>
          <w:b/>
          <w:sz w:val="22"/>
          <w:szCs w:val="22"/>
        </w:rPr>
      </w:pPr>
    </w:p>
    <w:p w:rsidR="00AC271A" w:rsidRPr="00C51A8A" w:rsidRDefault="00AC271A">
      <w:pPr>
        <w:rPr>
          <w:b/>
          <w:sz w:val="22"/>
          <w:szCs w:val="22"/>
        </w:rPr>
      </w:pPr>
    </w:p>
    <w:p w:rsidR="00AC271A" w:rsidRPr="00C51A8A" w:rsidRDefault="00AC271A">
      <w:pPr>
        <w:jc w:val="center"/>
        <w:rPr>
          <w:b/>
          <w:sz w:val="22"/>
          <w:szCs w:val="22"/>
        </w:rPr>
      </w:pPr>
    </w:p>
    <w:p w:rsidR="00A55923" w:rsidRDefault="00A55923" w:rsidP="003A17D2">
      <w:pPr>
        <w:ind w:firstLine="720"/>
        <w:rPr>
          <w:b/>
          <w:bCs/>
          <w:sz w:val="22"/>
          <w:szCs w:val="22"/>
        </w:rPr>
      </w:pPr>
    </w:p>
    <w:p w:rsidR="00A55923" w:rsidRDefault="00A55923" w:rsidP="003A17D2">
      <w:pPr>
        <w:ind w:firstLine="720"/>
        <w:rPr>
          <w:b/>
          <w:bCs/>
          <w:sz w:val="22"/>
          <w:szCs w:val="22"/>
        </w:rPr>
      </w:pPr>
    </w:p>
    <w:p w:rsidR="00A55923" w:rsidRPr="00A55923" w:rsidRDefault="00A55923" w:rsidP="00A55923">
      <w:r w:rsidRPr="00A55923">
        <w:t>Instructor: Tom Quinn</w:t>
      </w:r>
    </w:p>
    <w:p w:rsidR="00A55923" w:rsidRPr="00A55923" w:rsidRDefault="00A55923" w:rsidP="00A55923">
      <w:r w:rsidRPr="00A55923">
        <w:t>Office: W3-28</w:t>
      </w:r>
    </w:p>
    <w:p w:rsidR="00A55923" w:rsidRPr="00A55923" w:rsidRDefault="00A55923" w:rsidP="00A55923">
      <w:r w:rsidRPr="00A55923">
        <w:t>Telephone: 215-751-8823</w:t>
      </w:r>
    </w:p>
    <w:p w:rsidR="00A55923" w:rsidRPr="00A55923" w:rsidRDefault="00A55923" w:rsidP="00A55923">
      <w:r w:rsidRPr="00A55923">
        <w:t xml:space="preserve">E-mail: </w:t>
      </w:r>
      <w:hyperlink r:id="rId11" w:history="1">
        <w:r w:rsidRPr="00A55923">
          <w:rPr>
            <w:color w:val="0000FF"/>
            <w:u w:val="single"/>
          </w:rPr>
          <w:t>tquinn@ccp.edu</w:t>
        </w:r>
      </w:hyperlink>
    </w:p>
    <w:p w:rsidR="00A55923" w:rsidRPr="00A55923" w:rsidRDefault="00A55923" w:rsidP="00A55923">
      <w:pPr>
        <w:spacing w:before="100" w:beforeAutospacing="1" w:after="100" w:afterAutospacing="1"/>
      </w:pPr>
      <w:r w:rsidRPr="00A55923">
        <w:rPr>
          <w:b/>
          <w:bCs/>
        </w:rPr>
        <w:t>Meeting Dates:</w:t>
      </w:r>
      <w:r w:rsidR="00150CC4">
        <w:rPr>
          <w:b/>
          <w:bCs/>
        </w:rPr>
        <w:t xml:space="preserve"> </w:t>
      </w:r>
      <w:r w:rsidRPr="00A55923">
        <w:t>There are no live meetings scheduled. Meetings could be planned at the discretion of the instructor.</w:t>
      </w:r>
    </w:p>
    <w:p w:rsidR="00A55923" w:rsidRPr="00A55923" w:rsidRDefault="00A55923" w:rsidP="00150CC4">
      <w:pPr>
        <w:spacing w:before="120" w:after="120"/>
      </w:pPr>
      <w:r w:rsidRPr="00A55923">
        <w:rPr>
          <w:b/>
          <w:bCs/>
        </w:rPr>
        <w:t>Course objectives:</w:t>
      </w:r>
    </w:p>
    <w:p w:rsidR="00A55923" w:rsidRPr="00A55923" w:rsidRDefault="00A55923" w:rsidP="00150CC4">
      <w:pPr>
        <w:numPr>
          <w:ilvl w:val="0"/>
          <w:numId w:val="8"/>
        </w:numPr>
      </w:pPr>
      <w:r w:rsidRPr="00A55923">
        <w:t>Students will learn why juveniles are distinguished from adults in terms of correctional practices.</w:t>
      </w:r>
    </w:p>
    <w:p w:rsidR="00A55923" w:rsidRPr="00A55923" w:rsidRDefault="00A55923" w:rsidP="00150CC4">
      <w:pPr>
        <w:numPr>
          <w:ilvl w:val="0"/>
          <w:numId w:val="8"/>
        </w:numPr>
      </w:pPr>
      <w:r w:rsidRPr="00A55923">
        <w:t xml:space="preserve">The treatment of juveniles historically will be discussed as well as the recent shift in focus from treatment and rehabilitation to control and accountability. </w:t>
      </w:r>
    </w:p>
    <w:p w:rsidR="00A55923" w:rsidRPr="00A55923" w:rsidRDefault="00A55923" w:rsidP="00150CC4">
      <w:pPr>
        <w:numPr>
          <w:ilvl w:val="0"/>
          <w:numId w:val="8"/>
        </w:numPr>
      </w:pPr>
      <w:r w:rsidRPr="00A55923">
        <w:t xml:space="preserve">Possible causes of juvenile delinquency will be discussed. </w:t>
      </w:r>
    </w:p>
    <w:p w:rsidR="00A55923" w:rsidRPr="00A55923" w:rsidRDefault="00A55923" w:rsidP="00150CC4">
      <w:pPr>
        <w:numPr>
          <w:ilvl w:val="0"/>
          <w:numId w:val="8"/>
        </w:numPr>
      </w:pPr>
      <w:r w:rsidRPr="00A55923">
        <w:t>The juvenile justice system as well as various delinquency and delinquency prevention approaches will be discussed.  </w:t>
      </w:r>
    </w:p>
    <w:p w:rsidR="00A55923" w:rsidRPr="00A55923" w:rsidRDefault="00A55923" w:rsidP="00A55923">
      <w:pPr>
        <w:spacing w:before="100" w:beforeAutospacing="1" w:after="100" w:afterAutospacing="1"/>
      </w:pPr>
      <w:r w:rsidRPr="00A55923">
        <w:rPr>
          <w:b/>
          <w:bCs/>
        </w:rPr>
        <w:t>Student Learning Outcomes</w:t>
      </w:r>
      <w:r w:rsidR="005F7338" w:rsidRPr="00150CC4">
        <w:rPr>
          <w:b/>
          <w:bCs/>
        </w:rPr>
        <w:t>:</w:t>
      </w:r>
    </w:p>
    <w:p w:rsidR="00F31979" w:rsidRPr="00150CC4" w:rsidRDefault="00A55923" w:rsidP="00F31979">
      <w:r w:rsidRPr="00A55923">
        <w:t>Upon completion of this course students will be able to:</w:t>
      </w:r>
    </w:p>
    <w:p w:rsidR="00A55923" w:rsidRPr="00A55923" w:rsidRDefault="00A55923" w:rsidP="00F31979">
      <w:r w:rsidRPr="00A55923">
        <w:t xml:space="preserve"> </w:t>
      </w:r>
    </w:p>
    <w:p w:rsidR="00A55923" w:rsidRPr="00A55923" w:rsidRDefault="00A55923" w:rsidP="00F31979">
      <w:r w:rsidRPr="00A55923">
        <w:t>a. </w:t>
      </w:r>
      <w:r w:rsidRPr="00150CC4">
        <w:t>l</w:t>
      </w:r>
      <w:r w:rsidRPr="00A55923">
        <w:t>ist examples of social and personal situations that are positively related to delinquency.</w:t>
      </w:r>
    </w:p>
    <w:p w:rsidR="00A55923" w:rsidRPr="00A55923" w:rsidRDefault="00A55923" w:rsidP="00F31979">
      <w:r w:rsidRPr="00A55923">
        <w:t>b.</w:t>
      </w:r>
      <w:r w:rsidRPr="00150CC4">
        <w:t xml:space="preserve"> </w:t>
      </w:r>
      <w:r w:rsidRPr="00A55923">
        <w:t>explain the major sociological theories of crime connected to poverty and explain how they connect delinquent behavior to the lower socioeconomic classes.</w:t>
      </w:r>
    </w:p>
    <w:p w:rsidR="00A55923" w:rsidRPr="00A55923" w:rsidRDefault="00A55923" w:rsidP="00F31979">
      <w:r w:rsidRPr="00A55923">
        <w:t>c.</w:t>
      </w:r>
      <w:r w:rsidRPr="00150CC4">
        <w:t> demonstrate</w:t>
      </w:r>
      <w:r w:rsidRPr="00A55923">
        <w:t xml:space="preserve"> how delinquency prevention programs are assumed by many researchers to be not only well worth the cost, but also how they can actually save taxpayers money.</w:t>
      </w:r>
    </w:p>
    <w:p w:rsidR="00A55923" w:rsidRPr="00A55923" w:rsidRDefault="00A55923" w:rsidP="00F31979">
      <w:r w:rsidRPr="00A55923">
        <w:t>d.</w:t>
      </w:r>
      <w:r w:rsidRPr="00150CC4">
        <w:t> compare</w:t>
      </w:r>
      <w:r w:rsidRPr="00A55923">
        <w:t xml:space="preserve"> and contrast the arrest process, criminal trial and sentencing possibilities of adult    and juvenile offenders.  </w:t>
      </w:r>
    </w:p>
    <w:p w:rsidR="00BD0C1B" w:rsidRPr="00150CC4" w:rsidRDefault="00BD0C1B" w:rsidP="00BD0C1B">
      <w:pPr>
        <w:rPr>
          <w:b/>
          <w:bCs/>
        </w:rPr>
      </w:pPr>
    </w:p>
    <w:p w:rsidR="00BD0C1B" w:rsidRPr="00150CC4" w:rsidRDefault="00A55923" w:rsidP="00150CC4">
      <w:pPr>
        <w:rPr>
          <w:b/>
          <w:bCs/>
        </w:rPr>
      </w:pPr>
      <w:r w:rsidRPr="00A55923">
        <w:rPr>
          <w:b/>
          <w:bCs/>
        </w:rPr>
        <w:t>Textbook:</w:t>
      </w:r>
    </w:p>
    <w:p w:rsidR="00A55923" w:rsidRPr="00A55923" w:rsidRDefault="00A55923" w:rsidP="00150CC4">
      <w:r w:rsidRPr="00A55923">
        <w:rPr>
          <w:b/>
          <w:bCs/>
        </w:rPr>
        <w:t>Juvenile Delinquency- Theory, Practice and Law (11</w:t>
      </w:r>
      <w:r w:rsidRPr="00A55923">
        <w:rPr>
          <w:b/>
          <w:bCs/>
          <w:vertAlign w:val="superscript"/>
        </w:rPr>
        <w:t>th</w:t>
      </w:r>
      <w:r w:rsidRPr="00A55923">
        <w:rPr>
          <w:b/>
          <w:bCs/>
        </w:rPr>
        <w:t xml:space="preserve"> edition)</w:t>
      </w:r>
    </w:p>
    <w:p w:rsidR="00A55923" w:rsidRPr="00A55923" w:rsidRDefault="00A55923" w:rsidP="00150CC4">
      <w:r w:rsidRPr="00A55923">
        <w:rPr>
          <w:b/>
          <w:bCs/>
        </w:rPr>
        <w:t>Authors-Siegel, Welsh and Senna</w:t>
      </w:r>
    </w:p>
    <w:p w:rsidR="00BD0C1B" w:rsidRPr="00150CC4" w:rsidRDefault="00A55923" w:rsidP="00150CC4">
      <w:pPr>
        <w:rPr>
          <w:b/>
          <w:bCs/>
        </w:rPr>
      </w:pPr>
      <w:r w:rsidRPr="00A55923">
        <w:rPr>
          <w:b/>
          <w:bCs/>
        </w:rPr>
        <w:t xml:space="preserve">Thompson/Wadsworth Publishing </w:t>
      </w:r>
    </w:p>
    <w:p w:rsidR="00150CC4" w:rsidRPr="00150CC4" w:rsidRDefault="00150CC4" w:rsidP="00BD0C1B">
      <w:pPr>
        <w:spacing w:before="120" w:after="120"/>
        <w:rPr>
          <w:b/>
          <w:bCs/>
        </w:rPr>
      </w:pPr>
    </w:p>
    <w:p w:rsidR="00A55923" w:rsidRPr="00A55923" w:rsidRDefault="00A55923" w:rsidP="00BD0C1B">
      <w:pPr>
        <w:spacing w:before="120" w:after="120"/>
      </w:pPr>
      <w:r w:rsidRPr="00A55923">
        <w:rPr>
          <w:b/>
          <w:bCs/>
        </w:rPr>
        <w:t>Attendance:</w:t>
      </w:r>
      <w:r w:rsidRPr="00A55923">
        <w:t> </w:t>
      </w:r>
      <w:r w:rsidR="00150CC4">
        <w:t xml:space="preserve"> </w:t>
      </w:r>
      <w:r w:rsidRPr="00A55923">
        <w:t>Failure to turn in more than one weeks’ work (more than 1 Module) will make you subject to being dropped from the course.  </w:t>
      </w:r>
    </w:p>
    <w:p w:rsidR="00A55923" w:rsidRPr="00A55923" w:rsidRDefault="00A55923" w:rsidP="00A55923">
      <w:pPr>
        <w:spacing w:before="100" w:beforeAutospacing="1" w:after="100" w:afterAutospacing="1"/>
      </w:pPr>
      <w:r w:rsidRPr="00A55923">
        <w:t> </w:t>
      </w:r>
    </w:p>
    <w:p w:rsidR="00A55923" w:rsidRPr="00A55923" w:rsidRDefault="00A55923" w:rsidP="00A55923">
      <w:pPr>
        <w:spacing w:before="100" w:beforeAutospacing="1" w:after="100" w:afterAutospacing="1"/>
      </w:pPr>
      <w:r w:rsidRPr="00A55923">
        <w:rPr>
          <w:b/>
          <w:bCs/>
        </w:rPr>
        <w:t xml:space="preserve">Lateness: </w:t>
      </w:r>
      <w:r w:rsidRPr="00A55923">
        <w:rPr>
          <w:bCs/>
        </w:rPr>
        <w:t>Late work</w:t>
      </w:r>
      <w:r w:rsidRPr="00A55923">
        <w:rPr>
          <w:b/>
          <w:bCs/>
        </w:rPr>
        <w:t xml:space="preserve"> will not be accepted.  </w:t>
      </w:r>
      <w:r w:rsidRPr="00A55923">
        <w:rPr>
          <w:bCs/>
        </w:rPr>
        <w:t>This class moves too fast for late work to be submitted. Continuity, or staying up to date with each session, is critical.</w:t>
      </w:r>
      <w:r w:rsidRPr="00A55923">
        <w:t>  </w:t>
      </w:r>
    </w:p>
    <w:p w:rsidR="00A55923" w:rsidRPr="00A55923" w:rsidRDefault="00A55923" w:rsidP="00A55923">
      <w:pPr>
        <w:spacing w:before="100" w:beforeAutospacing="1" w:after="100" w:afterAutospacing="1"/>
      </w:pPr>
      <w:r w:rsidRPr="00A55923">
        <w:rPr>
          <w:b/>
          <w:bCs/>
        </w:rPr>
        <w:lastRenderedPageBreak/>
        <w:t>Disability Policy:</w:t>
      </w:r>
      <w:r w:rsidR="00150CC4">
        <w:rPr>
          <w:b/>
          <w:bCs/>
        </w:rPr>
        <w:t xml:space="preserve"> </w:t>
      </w:r>
      <w:r w:rsidRPr="00A55923">
        <w:t>If you require assistance with any condition or disability you should consult the College catalog for direction. The Center on Disability is located at M1-22B (215-751-8307).</w:t>
      </w:r>
    </w:p>
    <w:p w:rsidR="006E0291" w:rsidRDefault="00A55923" w:rsidP="005F7338">
      <w:pPr>
        <w:spacing w:before="100" w:beforeAutospacing="1" w:after="100" w:afterAutospacing="1"/>
        <w:rPr>
          <w:b/>
          <w:bCs/>
        </w:rPr>
      </w:pPr>
      <w:r w:rsidRPr="00A55923">
        <w:rPr>
          <w:b/>
          <w:bCs/>
        </w:rPr>
        <w:t>Plagiarism:</w:t>
      </w:r>
    </w:p>
    <w:p w:rsidR="005F7338" w:rsidRPr="00150CC4" w:rsidRDefault="005F7338" w:rsidP="005F7338">
      <w:pPr>
        <w:spacing w:before="100" w:beforeAutospacing="1" w:after="100" w:afterAutospacing="1"/>
        <w:rPr>
          <w:sz w:val="22"/>
          <w:szCs w:val="22"/>
        </w:rPr>
      </w:pPr>
      <w:r w:rsidRPr="00150CC4">
        <w:rPr>
          <w:sz w:val="22"/>
          <w:szCs w:val="22"/>
        </w:rPr>
        <w:t>Plagiarism is a serious offense that has been made easier by the World Wide Web. Very simply, it is a form of theft; that is, stealing someone's work and passing it off as your own. This theft does not require you to physically steal someone's paper, but most commonly, the offense is done when students find an article (or phrases or more from an article or text) that covers their topic and then copy it and use it as their own.</w:t>
      </w:r>
    </w:p>
    <w:p w:rsidR="005F7338" w:rsidRPr="00A55923" w:rsidRDefault="005F7338" w:rsidP="00A55923">
      <w:pPr>
        <w:spacing w:before="100" w:beforeAutospacing="1" w:after="100" w:afterAutospacing="1"/>
      </w:pPr>
      <w:r w:rsidRPr="00150CC4">
        <w:rPr>
          <w:sz w:val="22"/>
          <w:szCs w:val="22"/>
        </w:rPr>
        <w:t>If you are discovered having plagiarized, you will: (1) fail the assignment and have 10 points deducted from their cumulative final grade. If it happens a second time, students will fail the course; and I will turn the matter over to the Dean of Student Affairs for disciplinary action. The College and our program take this offense very seriously and so should you.</w:t>
      </w:r>
    </w:p>
    <w:p w:rsidR="00A55923" w:rsidRPr="00A55923" w:rsidRDefault="00A55923" w:rsidP="00A55923">
      <w:pPr>
        <w:spacing w:before="100" w:beforeAutospacing="1" w:after="100" w:afterAutospacing="1"/>
      </w:pPr>
      <w:r w:rsidRPr="00A55923">
        <w:t xml:space="preserve">Improper citation (improper use of quotes, not acknowledging the source for writings) will result in point deductions for individual Assignments and </w:t>
      </w:r>
      <w:r w:rsidR="00D348E3" w:rsidRPr="00150CC4">
        <w:t xml:space="preserve">possible </w:t>
      </w:r>
      <w:r w:rsidRPr="00A55923">
        <w:t>deductions from cumulative grades</w:t>
      </w:r>
      <w:r w:rsidR="00D348E3" w:rsidRPr="00150CC4">
        <w:t xml:space="preserve"> for written work</w:t>
      </w:r>
      <w:r w:rsidRPr="00A55923">
        <w:t>. </w:t>
      </w:r>
    </w:p>
    <w:p w:rsidR="00A55923" w:rsidRDefault="006E0291" w:rsidP="006E0291">
      <w:pPr>
        <w:spacing w:before="100" w:beforeAutospacing="1" w:after="100" w:afterAutospacing="1"/>
        <w:rPr>
          <w:b/>
          <w:bCs/>
        </w:rPr>
      </w:pPr>
      <w:r>
        <w:rPr>
          <w:b/>
          <w:bCs/>
        </w:rPr>
        <w:t xml:space="preserve">Student </w:t>
      </w:r>
      <w:r w:rsidR="00A55923" w:rsidRPr="00A55923">
        <w:rPr>
          <w:b/>
          <w:bCs/>
        </w:rPr>
        <w:t>Evaluation</w:t>
      </w:r>
      <w:r>
        <w:rPr>
          <w:b/>
          <w:bCs/>
        </w:rPr>
        <w:t xml:space="preserve"> and Assessment</w:t>
      </w:r>
      <w:r w:rsidR="00A55923" w:rsidRPr="00A55923">
        <w:rPr>
          <w:b/>
          <w:bCs/>
        </w:rPr>
        <w:t>: </w:t>
      </w:r>
    </w:p>
    <w:p w:rsidR="006E0291" w:rsidRDefault="006E0291" w:rsidP="006E0291">
      <w:pPr>
        <w:ind w:left="720"/>
        <w:rPr>
          <w:sz w:val="22"/>
          <w:szCs w:val="22"/>
        </w:rPr>
      </w:pPr>
      <w:r>
        <w:rPr>
          <w:sz w:val="22"/>
          <w:szCs w:val="22"/>
        </w:rPr>
        <w:tab/>
      </w:r>
      <w:r>
        <w:rPr>
          <w:sz w:val="22"/>
          <w:szCs w:val="22"/>
        </w:rPr>
        <w:tab/>
        <w:t>A (4.0) = 90% to 100%</w:t>
      </w:r>
    </w:p>
    <w:p w:rsidR="006E0291" w:rsidRDefault="006E0291" w:rsidP="006E0291">
      <w:pPr>
        <w:ind w:left="720"/>
        <w:rPr>
          <w:sz w:val="22"/>
          <w:szCs w:val="22"/>
        </w:rPr>
      </w:pPr>
      <w:r>
        <w:rPr>
          <w:sz w:val="22"/>
          <w:szCs w:val="22"/>
        </w:rPr>
        <w:tab/>
      </w:r>
      <w:r>
        <w:rPr>
          <w:sz w:val="22"/>
          <w:szCs w:val="22"/>
        </w:rPr>
        <w:tab/>
        <w:t>B (3.0) = 80% to 89%</w:t>
      </w:r>
      <w:r>
        <w:rPr>
          <w:sz w:val="22"/>
          <w:szCs w:val="22"/>
        </w:rPr>
        <w:tab/>
      </w:r>
      <w:r>
        <w:rPr>
          <w:sz w:val="22"/>
          <w:szCs w:val="22"/>
        </w:rPr>
        <w:tab/>
      </w:r>
      <w:r>
        <w:rPr>
          <w:sz w:val="22"/>
          <w:szCs w:val="22"/>
        </w:rPr>
        <w:tab/>
        <w:t xml:space="preserve">   </w:t>
      </w:r>
    </w:p>
    <w:p w:rsidR="006E0291" w:rsidRDefault="006E0291" w:rsidP="006E0291">
      <w:pPr>
        <w:ind w:left="720"/>
        <w:rPr>
          <w:sz w:val="22"/>
          <w:szCs w:val="22"/>
        </w:rPr>
      </w:pPr>
      <w:r>
        <w:rPr>
          <w:sz w:val="22"/>
          <w:szCs w:val="22"/>
        </w:rPr>
        <w:tab/>
      </w:r>
      <w:r>
        <w:rPr>
          <w:sz w:val="22"/>
          <w:szCs w:val="22"/>
        </w:rPr>
        <w:tab/>
        <w:t>C (2.0) = 70% to 79%</w:t>
      </w:r>
      <w:r>
        <w:rPr>
          <w:sz w:val="22"/>
          <w:szCs w:val="22"/>
        </w:rPr>
        <w:tab/>
      </w:r>
      <w:r>
        <w:rPr>
          <w:sz w:val="22"/>
          <w:szCs w:val="22"/>
        </w:rPr>
        <w:tab/>
      </w:r>
    </w:p>
    <w:p w:rsidR="006E0291" w:rsidRDefault="006E0291" w:rsidP="006E0291">
      <w:pPr>
        <w:ind w:left="720"/>
        <w:rPr>
          <w:sz w:val="22"/>
          <w:szCs w:val="22"/>
        </w:rPr>
      </w:pPr>
      <w:r>
        <w:rPr>
          <w:sz w:val="22"/>
          <w:szCs w:val="22"/>
        </w:rPr>
        <w:tab/>
      </w:r>
      <w:r>
        <w:rPr>
          <w:sz w:val="22"/>
          <w:szCs w:val="22"/>
        </w:rPr>
        <w:tab/>
        <w:t xml:space="preserve">D (1.0) = 60% to 69% </w:t>
      </w:r>
    </w:p>
    <w:p w:rsidR="006E0291" w:rsidRDefault="006E0291" w:rsidP="006E0291">
      <w:pPr>
        <w:ind w:left="720"/>
        <w:rPr>
          <w:sz w:val="22"/>
          <w:szCs w:val="22"/>
        </w:rPr>
      </w:pPr>
      <w:r>
        <w:rPr>
          <w:sz w:val="22"/>
          <w:szCs w:val="22"/>
        </w:rPr>
        <w:tab/>
      </w:r>
      <w:r>
        <w:rPr>
          <w:sz w:val="22"/>
          <w:szCs w:val="22"/>
        </w:rPr>
        <w:tab/>
        <w:t>F (0.0) = less than 60%</w:t>
      </w:r>
    </w:p>
    <w:p w:rsidR="006E0291" w:rsidRPr="00150CC4" w:rsidRDefault="006E0291" w:rsidP="006E0291">
      <w:pPr>
        <w:ind w:left="720"/>
        <w:rPr>
          <w:b/>
          <w:bCs/>
          <w:sz w:val="22"/>
          <w:szCs w:val="22"/>
        </w:rPr>
      </w:pPr>
    </w:p>
    <w:p w:rsidR="00D348E3" w:rsidRPr="00BD2897" w:rsidRDefault="00D348E3" w:rsidP="00BD2897">
      <w:r w:rsidRPr="00BD2897">
        <w:t xml:space="preserve">Chapter </w:t>
      </w:r>
      <w:r w:rsidR="003A17D2" w:rsidRPr="00BD2897">
        <w:t>Tests</w:t>
      </w:r>
      <w:r w:rsidRPr="00BD2897">
        <w:t>-40% (includes plagiarism test in Module 1)</w:t>
      </w:r>
    </w:p>
    <w:p w:rsidR="00C05D08" w:rsidRPr="00BD2897" w:rsidRDefault="00C05D08" w:rsidP="00BD2897"/>
    <w:p w:rsidR="00CB2311" w:rsidRPr="00BD2897" w:rsidRDefault="00CB2311" w:rsidP="00BD2897">
      <w:r w:rsidRPr="00BD2897">
        <w:t>Final Exam-20%</w:t>
      </w:r>
    </w:p>
    <w:p w:rsidR="00C05D08" w:rsidRPr="00BD2897" w:rsidRDefault="00C05D08" w:rsidP="00BD2897"/>
    <w:p w:rsidR="003A17D2" w:rsidRPr="00BD2897" w:rsidRDefault="003A17D2" w:rsidP="00BD2897">
      <w:r w:rsidRPr="00BD2897">
        <w:t>Tests</w:t>
      </w:r>
      <w:r w:rsidR="00CB2311" w:rsidRPr="00BD2897">
        <w:t xml:space="preserve">/Final Exam </w:t>
      </w:r>
      <w:r w:rsidRPr="00BD2897">
        <w:t xml:space="preserve"> may only be taken on </w:t>
      </w:r>
      <w:r w:rsidR="00D348E3" w:rsidRPr="00BD2897">
        <w:t>within the dates for the Module in which the test is assigned (for instance, a test visible in Module 3, can only be taken during the week in which Module 3 is assigned).</w:t>
      </w:r>
      <w:r w:rsidRPr="00BD2897">
        <w:t xml:space="preserve"> </w:t>
      </w:r>
      <w:r w:rsidR="00C05D08" w:rsidRPr="00BD2897">
        <w:t>They are also timed, so students have to be prepared before they actually begin taking the test/exam.</w:t>
      </w:r>
    </w:p>
    <w:p w:rsidR="003A17D2" w:rsidRPr="00BD2897" w:rsidRDefault="003A17D2" w:rsidP="00BD2897"/>
    <w:p w:rsidR="003A17D2" w:rsidRPr="00BD2897" w:rsidRDefault="00D348E3" w:rsidP="00BD2897">
      <w:r w:rsidRPr="00BD2897">
        <w:t>Discussion P</w:t>
      </w:r>
      <w:r w:rsidR="003A17D2" w:rsidRPr="00BD2897">
        <w:t>osts</w:t>
      </w:r>
      <w:r w:rsidR="00CB2311" w:rsidRPr="00BD2897">
        <w:t xml:space="preserve"> - 25</w:t>
      </w:r>
      <w:r w:rsidR="003A17D2" w:rsidRPr="00BD2897">
        <w:t>%)</w:t>
      </w:r>
    </w:p>
    <w:p w:rsidR="00CB2311" w:rsidRPr="00BD2897" w:rsidRDefault="00CB2311" w:rsidP="00BD2897">
      <w:r w:rsidRPr="00BD2897">
        <w:t xml:space="preserve">Each </w:t>
      </w:r>
      <w:r w:rsidR="003A17D2" w:rsidRPr="00BD2897">
        <w:t xml:space="preserve">week you will be required to respond to </w:t>
      </w:r>
      <w:r w:rsidRPr="00BD2897">
        <w:t xml:space="preserve">Discussions. </w:t>
      </w:r>
      <w:r w:rsidR="003A17D2" w:rsidRPr="00BD2897">
        <w:t>Besides your initial post to a question, you will also be required to respond</w:t>
      </w:r>
      <w:r w:rsidR="00895696" w:rsidRPr="00BD2897">
        <w:t xml:space="preserve"> to two other students’ posts. </w:t>
      </w:r>
      <w:r w:rsidRPr="00BD2897">
        <w:t xml:space="preserve">The documents you will see in the Course Basics Module </w:t>
      </w:r>
      <w:r w:rsidR="00C05D08" w:rsidRPr="00BD2897">
        <w:t>provide</w:t>
      </w:r>
      <w:r w:rsidRPr="00BD2897">
        <w:t xml:space="preserve"> details about what is expected in Forum posts, including the rules for citation.</w:t>
      </w:r>
    </w:p>
    <w:p w:rsidR="00CB2311" w:rsidRPr="00BD2897" w:rsidRDefault="00CB2311" w:rsidP="00BD2897"/>
    <w:p w:rsidR="00CB2311" w:rsidRPr="00BD2897" w:rsidRDefault="00CB2311" w:rsidP="00BD2897">
      <w:r w:rsidRPr="00BD2897">
        <w:t>Graded Assignments- 15%</w:t>
      </w:r>
    </w:p>
    <w:p w:rsidR="00CB2311" w:rsidRPr="00BD2897" w:rsidRDefault="00CB2311" w:rsidP="00BD2897">
      <w:r w:rsidRPr="00BD2897">
        <w:t>There will be two Graded Assignments. They are to be treated as essay type questions. Like with Discussions, documents in the Course Basics Module will provides information about what is expected. including the rules for citation.</w:t>
      </w:r>
    </w:p>
    <w:p w:rsidR="00CB2311" w:rsidRPr="00BD2897" w:rsidRDefault="00CB2311" w:rsidP="00BD2897"/>
    <w:p w:rsidR="00CB2311" w:rsidRPr="00BD2897" w:rsidRDefault="00CB2311" w:rsidP="00BD2897">
      <w:r w:rsidRPr="00BD2897">
        <w:t>Tests</w:t>
      </w:r>
      <w:r w:rsidR="00C709A1" w:rsidRPr="00BD2897">
        <w:t xml:space="preserve"> </w:t>
      </w:r>
      <w:r w:rsidRPr="00BD2897">
        <w:t>-</w:t>
      </w:r>
      <w:r w:rsidR="00C05D08" w:rsidRPr="00BD2897">
        <w:t xml:space="preserve"> </w:t>
      </w:r>
      <w:r w:rsidRPr="00BD2897">
        <w:t>40%</w:t>
      </w:r>
    </w:p>
    <w:p w:rsidR="00CB2311" w:rsidRPr="00BD2897" w:rsidRDefault="00CB2311" w:rsidP="00BD2897">
      <w:r w:rsidRPr="00BD2897">
        <w:t>Final Exam</w:t>
      </w:r>
      <w:r w:rsidR="00C709A1" w:rsidRPr="00BD2897">
        <w:t xml:space="preserve"> </w:t>
      </w:r>
      <w:r w:rsidRPr="00BD2897">
        <w:t>-</w:t>
      </w:r>
      <w:r w:rsidR="00C709A1" w:rsidRPr="00BD2897">
        <w:t xml:space="preserve"> </w:t>
      </w:r>
      <w:r w:rsidRPr="00BD2897">
        <w:t>20%</w:t>
      </w:r>
    </w:p>
    <w:p w:rsidR="00C05D08" w:rsidRPr="00BD2897" w:rsidRDefault="00CB2311" w:rsidP="00BD2897">
      <w:r w:rsidRPr="00BD2897">
        <w:t>Discussions</w:t>
      </w:r>
      <w:r w:rsidR="00C709A1" w:rsidRPr="00BD2897">
        <w:t xml:space="preserve"> </w:t>
      </w:r>
      <w:r w:rsidR="00BD0C1B" w:rsidRPr="00BD2897">
        <w:t>-</w:t>
      </w:r>
      <w:r w:rsidR="00C709A1" w:rsidRPr="00BD2897">
        <w:t xml:space="preserve"> </w:t>
      </w:r>
      <w:r w:rsidRPr="00BD2897">
        <w:t>25%</w:t>
      </w:r>
    </w:p>
    <w:p w:rsidR="00C05D08" w:rsidRPr="00BD2897" w:rsidRDefault="00BD0C1B" w:rsidP="00BD2897">
      <w:r w:rsidRPr="00BD2897">
        <w:t>Assignments</w:t>
      </w:r>
      <w:r w:rsidR="00C709A1" w:rsidRPr="00BD2897">
        <w:t xml:space="preserve"> </w:t>
      </w:r>
      <w:r w:rsidRPr="00BD2897">
        <w:t>-</w:t>
      </w:r>
      <w:r w:rsidR="00C05D08" w:rsidRPr="00BD2897">
        <w:t xml:space="preserve"> 15%</w:t>
      </w:r>
    </w:p>
    <w:p w:rsidR="00150CC4" w:rsidRPr="00BD2897" w:rsidRDefault="00150CC4" w:rsidP="00BD2897"/>
    <w:p w:rsidR="00CB2311" w:rsidRPr="00BD2897" w:rsidRDefault="00C05D08" w:rsidP="00BD2897">
      <w:r w:rsidRPr="00BD2897">
        <w:t>Total =</w:t>
      </w:r>
      <w:r w:rsidR="00150CC4" w:rsidRPr="00BD2897">
        <w:t xml:space="preserve"> </w:t>
      </w:r>
      <w:r w:rsidRPr="00BD2897">
        <w:t>100%</w:t>
      </w:r>
    </w:p>
    <w:p w:rsidR="00CB2311" w:rsidRPr="00150CC4" w:rsidRDefault="00CB2311" w:rsidP="00BD2897">
      <w:pPr>
        <w:pStyle w:val="ListParagraph"/>
        <w:rPr>
          <w:bCs/>
          <w:sz w:val="22"/>
          <w:szCs w:val="22"/>
        </w:rPr>
      </w:pPr>
    </w:p>
    <w:p w:rsidR="00A037A2" w:rsidRPr="00150CC4" w:rsidRDefault="00A037A2" w:rsidP="00BD2897">
      <w:pPr>
        <w:rPr>
          <w:sz w:val="22"/>
          <w:szCs w:val="22"/>
          <w:u w:val="single"/>
        </w:rPr>
      </w:pPr>
    </w:p>
    <w:p w:rsidR="00A037A2" w:rsidRPr="00150CC4" w:rsidRDefault="00A037A2" w:rsidP="00BD2897">
      <w:pPr>
        <w:ind w:left="720"/>
        <w:rPr>
          <w:sz w:val="22"/>
          <w:szCs w:val="22"/>
        </w:rPr>
      </w:pPr>
      <w:r w:rsidRPr="00150CC4">
        <w:rPr>
          <w:b/>
          <w:sz w:val="22"/>
          <w:szCs w:val="22"/>
          <w:u w:val="single"/>
        </w:rPr>
        <w:t>Late Policy:</w:t>
      </w:r>
      <w:r w:rsidR="0042439C" w:rsidRPr="00150CC4">
        <w:rPr>
          <w:sz w:val="22"/>
          <w:szCs w:val="22"/>
        </w:rPr>
        <w:t xml:space="preserve">  </w:t>
      </w:r>
      <w:r w:rsidRPr="00150CC4">
        <w:rPr>
          <w:sz w:val="22"/>
          <w:szCs w:val="22"/>
        </w:rPr>
        <w:t>No late work will be accepted-none.  Please do not ask, it is not accepted. No excuse policy.        The reason for this policy is because in most fields you enter you will be subject to numerous and continuous deadlines and learning to respect and meet deadlines is crucial to success.</w:t>
      </w:r>
    </w:p>
    <w:p w:rsidR="00985D80" w:rsidRPr="00150CC4" w:rsidRDefault="00985D80" w:rsidP="00BD2897">
      <w:pPr>
        <w:rPr>
          <w:b/>
          <w:sz w:val="22"/>
          <w:szCs w:val="22"/>
          <w:u w:val="single"/>
        </w:rPr>
      </w:pPr>
    </w:p>
    <w:p w:rsidR="002979F2" w:rsidRPr="00335F9B" w:rsidRDefault="002979F2" w:rsidP="00BD2897">
      <w:pPr>
        <w:ind w:left="720"/>
        <w:rPr>
          <w:b/>
          <w:sz w:val="22"/>
          <w:szCs w:val="22"/>
        </w:rPr>
      </w:pPr>
      <w:r w:rsidRPr="00150CC4">
        <w:rPr>
          <w:b/>
          <w:sz w:val="22"/>
          <w:szCs w:val="22"/>
          <w:u w:val="single"/>
        </w:rPr>
        <w:t>Attendance Policy:</w:t>
      </w:r>
      <w:r w:rsidRPr="00150CC4">
        <w:rPr>
          <w:sz w:val="22"/>
          <w:szCs w:val="22"/>
          <w:u w:val="single"/>
        </w:rPr>
        <w:t xml:space="preserve"> </w:t>
      </w:r>
      <w:r w:rsidRPr="00150CC4">
        <w:rPr>
          <w:sz w:val="22"/>
          <w:szCs w:val="22"/>
        </w:rPr>
        <w:t xml:space="preserve">Attendance is required. </w:t>
      </w:r>
      <w:r w:rsidR="002173AC" w:rsidRPr="00150CC4">
        <w:rPr>
          <w:sz w:val="22"/>
          <w:szCs w:val="22"/>
        </w:rPr>
        <w:t xml:space="preserve">Log in daily. </w:t>
      </w:r>
      <w:r w:rsidR="002173AC" w:rsidRPr="00335F9B">
        <w:rPr>
          <w:b/>
          <w:sz w:val="22"/>
          <w:szCs w:val="22"/>
        </w:rPr>
        <w:t>Failure to log in for one week or failure to turn in one week of assignments may result in being dropped for lack of attendance or in grade reduction.</w:t>
      </w:r>
    </w:p>
    <w:p w:rsidR="00985D80" w:rsidRPr="00335F9B" w:rsidRDefault="00985D80" w:rsidP="00BD2897">
      <w:pPr>
        <w:ind w:left="360"/>
        <w:rPr>
          <w:b/>
          <w:sz w:val="22"/>
          <w:szCs w:val="22"/>
        </w:rPr>
      </w:pPr>
    </w:p>
    <w:p w:rsidR="00985D80" w:rsidRPr="00150CC4" w:rsidRDefault="00985D80" w:rsidP="00985D80">
      <w:pPr>
        <w:rPr>
          <w:sz w:val="22"/>
          <w:szCs w:val="22"/>
        </w:rPr>
      </w:pPr>
    </w:p>
    <w:p w:rsidR="00985D80" w:rsidRPr="00150CC4" w:rsidRDefault="00985D80" w:rsidP="00985D80">
      <w:pPr>
        <w:jc w:val="center"/>
        <w:rPr>
          <w:b/>
          <w:sz w:val="22"/>
          <w:szCs w:val="22"/>
        </w:rPr>
      </w:pPr>
      <w:r w:rsidRPr="00150CC4">
        <w:rPr>
          <w:b/>
          <w:sz w:val="22"/>
          <w:szCs w:val="22"/>
        </w:rPr>
        <w:t>Course Support</w:t>
      </w:r>
    </w:p>
    <w:p w:rsidR="00985D80" w:rsidRPr="00150CC4" w:rsidRDefault="00985D80" w:rsidP="00985D80">
      <w:pPr>
        <w:rPr>
          <w:b/>
          <w:sz w:val="22"/>
          <w:szCs w:val="22"/>
        </w:rPr>
      </w:pPr>
    </w:p>
    <w:p w:rsidR="00985D80" w:rsidRPr="006E0291" w:rsidRDefault="00985D80" w:rsidP="00985D80">
      <w:pPr>
        <w:rPr>
          <w:b/>
          <w:sz w:val="22"/>
          <w:szCs w:val="22"/>
          <w:u w:val="single"/>
        </w:rPr>
      </w:pPr>
      <w:r w:rsidRPr="006E0291">
        <w:rPr>
          <w:b/>
          <w:sz w:val="22"/>
          <w:szCs w:val="22"/>
          <w:u w:val="single"/>
        </w:rPr>
        <w:t>College Resources:</w:t>
      </w:r>
    </w:p>
    <w:p w:rsidR="00985D80" w:rsidRPr="00150CC4" w:rsidRDefault="00985D80" w:rsidP="00985D80">
      <w:pPr>
        <w:pStyle w:val="NormalWeb"/>
        <w:numPr>
          <w:ilvl w:val="0"/>
          <w:numId w:val="2"/>
        </w:numPr>
        <w:tabs>
          <w:tab w:val="num" w:pos="1080"/>
        </w:tabs>
        <w:spacing w:line="255" w:lineRule="atLeast"/>
        <w:rPr>
          <w:color w:val="333333"/>
          <w:sz w:val="22"/>
          <w:szCs w:val="22"/>
        </w:rPr>
      </w:pPr>
      <w:r w:rsidRPr="00150CC4">
        <w:rPr>
          <w:b/>
          <w:sz w:val="22"/>
          <w:szCs w:val="22"/>
        </w:rPr>
        <w:t>Career Service Center</w:t>
      </w:r>
      <w:r w:rsidRPr="00150CC4">
        <w:rPr>
          <w:sz w:val="22"/>
          <w:szCs w:val="22"/>
        </w:rPr>
        <w:t>:  Community College of Philadelphia is dedicated to helping students and alumni plan for and obtain suitable careers and help area businesses recruit new employees. The Center regularly offers a number of workshops and seminars and hosts special events throughout the year to help you find positions, write professional resumes and letters, experience great interviews, and find career information.  The Career Service Center is located in the Center for Business and Industry, Room C1-34 (215) 496-6176.</w:t>
      </w:r>
    </w:p>
    <w:p w:rsidR="00985D80" w:rsidRPr="00150CC4" w:rsidRDefault="00985D80" w:rsidP="00985D80">
      <w:pPr>
        <w:numPr>
          <w:ilvl w:val="0"/>
          <w:numId w:val="2"/>
        </w:numPr>
        <w:tabs>
          <w:tab w:val="num" w:pos="1080"/>
        </w:tabs>
        <w:rPr>
          <w:color w:val="333333"/>
          <w:sz w:val="22"/>
          <w:szCs w:val="22"/>
        </w:rPr>
      </w:pPr>
      <w:r w:rsidRPr="00150CC4">
        <w:rPr>
          <w:b/>
          <w:sz w:val="22"/>
          <w:szCs w:val="22"/>
        </w:rPr>
        <w:t>Counseling Center</w:t>
      </w:r>
      <w:r w:rsidRPr="00150CC4">
        <w:rPr>
          <w:sz w:val="22"/>
          <w:szCs w:val="22"/>
        </w:rPr>
        <w:t xml:space="preserve">:  The College offers free comprehensive counseling services to all its students. The Counseling Center is staffed by professional </w:t>
      </w:r>
      <w:r w:rsidRPr="00150CC4">
        <w:rPr>
          <w:bCs/>
          <w:sz w:val="22"/>
          <w:szCs w:val="22"/>
          <w:bdr w:val="none" w:sz="0" w:space="0" w:color="auto" w:frame="1"/>
        </w:rPr>
        <w:t>counselors</w:t>
      </w:r>
      <w:r w:rsidRPr="00150CC4">
        <w:rPr>
          <w:sz w:val="22"/>
          <w:szCs w:val="22"/>
        </w:rPr>
        <w:t xml:space="preserve">. Educational, career, and personal counseling are available to both individual and groups. Counselors also assist students and graduates who wish to continue their education in other institutions. Information discussed in counseling is kept strictly confidential.  Students seeking counseling services may request an appointment with a counselor best suited to assist them. Appointments with counselors can be made in </w:t>
      </w:r>
      <w:r w:rsidRPr="00150CC4">
        <w:rPr>
          <w:b/>
          <w:sz w:val="22"/>
          <w:szCs w:val="22"/>
        </w:rPr>
        <w:t>W2-2</w:t>
      </w:r>
      <w:r w:rsidRPr="00150CC4">
        <w:rPr>
          <w:sz w:val="22"/>
          <w:szCs w:val="22"/>
        </w:rPr>
        <w:t xml:space="preserve"> (Main Campus) or by calling </w:t>
      </w:r>
      <w:r w:rsidRPr="00150CC4">
        <w:rPr>
          <w:bCs/>
          <w:sz w:val="22"/>
          <w:szCs w:val="22"/>
        </w:rPr>
        <w:t>(215) 751-8169</w:t>
      </w:r>
      <w:r w:rsidRPr="00150CC4">
        <w:rPr>
          <w:sz w:val="22"/>
          <w:szCs w:val="22"/>
        </w:rPr>
        <w:t>.</w:t>
      </w:r>
    </w:p>
    <w:p w:rsidR="00985D80" w:rsidRPr="00150CC4" w:rsidRDefault="00985D80" w:rsidP="00985D80">
      <w:pPr>
        <w:pStyle w:val="NormalWeb"/>
        <w:numPr>
          <w:ilvl w:val="0"/>
          <w:numId w:val="2"/>
        </w:numPr>
        <w:tabs>
          <w:tab w:val="num" w:pos="1080"/>
        </w:tabs>
        <w:spacing w:line="255" w:lineRule="atLeast"/>
        <w:rPr>
          <w:color w:val="333333"/>
          <w:sz w:val="22"/>
          <w:szCs w:val="22"/>
        </w:rPr>
      </w:pPr>
      <w:r w:rsidRPr="00150CC4">
        <w:rPr>
          <w:b/>
          <w:sz w:val="22"/>
          <w:szCs w:val="22"/>
        </w:rPr>
        <w:t xml:space="preserve">Learning Labs:  </w:t>
      </w:r>
      <w:r w:rsidRPr="00150CC4">
        <w:rPr>
          <w:sz w:val="22"/>
          <w:szCs w:val="22"/>
        </w:rPr>
        <w:t xml:space="preserve">The Learning Lab department provides tutoring services to registered students and is able to assist clients with information that is specific to most of the courses offered at the College. Peer tutors are accomplished students who have been trained to help other students. These tutors have taken the course you need help in, and they are available for one-on-one tutoring. The Lab's faculty members include specialists in reading, study skills, English as a Second Language, writing, mathematics, science and learning disabilities. Additional services include Math, English and English as a Second Language workshops, Biology and Chemistry study groups and small group tutoring. There are three Learning Lab locations on the Main Campus. </w:t>
      </w:r>
      <w:r w:rsidRPr="00150CC4">
        <w:rPr>
          <w:bCs/>
          <w:sz w:val="22"/>
          <w:szCs w:val="22"/>
        </w:rPr>
        <w:t>The Learning Lab Locations include:</w:t>
      </w:r>
      <w:r w:rsidRPr="00150CC4">
        <w:rPr>
          <w:sz w:val="22"/>
          <w:szCs w:val="22"/>
        </w:rPr>
        <w:t xml:space="preserve"> </w:t>
      </w:r>
      <w:r w:rsidRPr="00150CC4">
        <w:rPr>
          <w:color w:val="333333"/>
          <w:sz w:val="22"/>
          <w:szCs w:val="22"/>
        </w:rPr>
        <w:t xml:space="preserve">(1) </w:t>
      </w:r>
      <w:r w:rsidRPr="00150CC4">
        <w:rPr>
          <w:b/>
          <w:bCs/>
          <w:color w:val="333333"/>
          <w:sz w:val="22"/>
          <w:szCs w:val="22"/>
          <w:bdr w:val="none" w:sz="0" w:space="0" w:color="auto" w:frame="1"/>
        </w:rPr>
        <w:t>Central Learning Lab (B1-28)</w:t>
      </w:r>
      <w:r w:rsidRPr="00150CC4">
        <w:rPr>
          <w:color w:val="333333"/>
          <w:sz w:val="22"/>
          <w:szCs w:val="22"/>
        </w:rPr>
        <w:t xml:space="preserve"> for Humanities and Social Science, (2) </w:t>
      </w:r>
      <w:r w:rsidRPr="00150CC4">
        <w:rPr>
          <w:b/>
          <w:bCs/>
          <w:color w:val="333333"/>
          <w:sz w:val="22"/>
          <w:szCs w:val="22"/>
          <w:bdr w:val="none" w:sz="0" w:space="0" w:color="auto" w:frame="1"/>
        </w:rPr>
        <w:t>South Learning Lab (B2-36)</w:t>
      </w:r>
      <w:r w:rsidRPr="00150CC4">
        <w:rPr>
          <w:color w:val="333333"/>
          <w:sz w:val="22"/>
          <w:szCs w:val="22"/>
        </w:rPr>
        <w:t xml:space="preserve"> for Math and Business, and (3) </w:t>
      </w:r>
      <w:r w:rsidRPr="00150CC4">
        <w:rPr>
          <w:b/>
          <w:bCs/>
          <w:color w:val="333333"/>
          <w:sz w:val="22"/>
          <w:szCs w:val="22"/>
          <w:bdr w:val="none" w:sz="0" w:space="0" w:color="auto" w:frame="1"/>
        </w:rPr>
        <w:t>West Learning Lab (W3-26)</w:t>
      </w:r>
      <w:r w:rsidRPr="00150CC4">
        <w:rPr>
          <w:color w:val="333333"/>
          <w:sz w:val="22"/>
          <w:szCs w:val="22"/>
        </w:rPr>
        <w:t xml:space="preserve"> for Science and Allied Health. </w:t>
      </w:r>
      <w:r w:rsidRPr="00150CC4">
        <w:rPr>
          <w:b/>
          <w:i/>
          <w:color w:val="333333"/>
          <w:sz w:val="22"/>
          <w:szCs w:val="22"/>
        </w:rPr>
        <w:t xml:space="preserve">The Central Learning Lab offers assistance with GEOGRAPHY courses.  </w:t>
      </w:r>
      <w:r w:rsidRPr="00150CC4">
        <w:rPr>
          <w:color w:val="333333"/>
          <w:sz w:val="22"/>
          <w:szCs w:val="22"/>
        </w:rPr>
        <w:t xml:space="preserve"> </w:t>
      </w:r>
      <w:r w:rsidRPr="00150CC4">
        <w:rPr>
          <w:sz w:val="22"/>
          <w:szCs w:val="22"/>
        </w:rPr>
        <w:t>You must stop by to make an appointment for a tutoring session. Hours vary depending upon the time of year and are subject to change; thus, hours will be posted each semester.  For more information, visit the website http://faculty.ccp.edu/dept/learn_lab/.</w:t>
      </w:r>
    </w:p>
    <w:p w:rsidR="00985D80" w:rsidRPr="00150CC4" w:rsidRDefault="00985D80" w:rsidP="00985D80">
      <w:pPr>
        <w:numPr>
          <w:ilvl w:val="0"/>
          <w:numId w:val="2"/>
        </w:numPr>
        <w:tabs>
          <w:tab w:val="num" w:pos="1080"/>
        </w:tabs>
        <w:rPr>
          <w:color w:val="000000"/>
          <w:sz w:val="22"/>
          <w:szCs w:val="22"/>
        </w:rPr>
      </w:pPr>
      <w:r w:rsidRPr="00150CC4">
        <w:rPr>
          <w:b/>
          <w:sz w:val="22"/>
          <w:szCs w:val="22"/>
        </w:rPr>
        <w:t>Library:</w:t>
      </w:r>
      <w:r w:rsidRPr="00150CC4">
        <w:rPr>
          <w:sz w:val="22"/>
          <w:szCs w:val="22"/>
        </w:rPr>
        <w:t xml:space="preserve">  The Community College of Philadelphia Library offers many electronic and printed materials to help you find the information you need. Through the library’s website (http://www.ccp.edu/site/academic/library.php), you can search online to locate a journal or book in the library, find what you need in an online encyclopedia or ask a librarian a question. The library offers plenty of individual and group study areas, as well as access to computers. In addition, library experienced staff is available to answer your questions.</w:t>
      </w:r>
      <w:r w:rsidRPr="00150CC4">
        <w:rPr>
          <w:color w:val="000000"/>
          <w:sz w:val="22"/>
          <w:szCs w:val="22"/>
        </w:rPr>
        <w:t xml:space="preserve">  The Library is located in the Mint Building, Main Campus (215) 751-8394.  The </w:t>
      </w:r>
      <w:r w:rsidRPr="00150CC4">
        <w:rPr>
          <w:bCs/>
          <w:color w:val="000000"/>
          <w:sz w:val="22"/>
          <w:szCs w:val="22"/>
        </w:rPr>
        <w:t xml:space="preserve">Fall and Spring Semesters hours are </w:t>
      </w:r>
      <w:r w:rsidRPr="00150CC4">
        <w:rPr>
          <w:color w:val="000000"/>
          <w:sz w:val="22"/>
          <w:szCs w:val="22"/>
        </w:rPr>
        <w:t>Monday-Friday 8:00 AM-10:00 PM; Saturday 8:30 AM-5:00 PM; Closed Sunday.</w:t>
      </w:r>
    </w:p>
    <w:p w:rsidR="008C3566" w:rsidRPr="00150CC4" w:rsidRDefault="00985D80" w:rsidP="00163D6D">
      <w:pPr>
        <w:pStyle w:val="NormalWeb"/>
        <w:numPr>
          <w:ilvl w:val="0"/>
          <w:numId w:val="2"/>
        </w:numPr>
        <w:tabs>
          <w:tab w:val="num" w:pos="1080"/>
        </w:tabs>
        <w:spacing w:line="255" w:lineRule="atLeast"/>
        <w:rPr>
          <w:sz w:val="22"/>
          <w:szCs w:val="22"/>
        </w:rPr>
      </w:pPr>
      <w:r w:rsidRPr="00150CC4">
        <w:rPr>
          <w:b/>
          <w:sz w:val="22"/>
          <w:szCs w:val="22"/>
        </w:rPr>
        <w:t>Women’s Center</w:t>
      </w:r>
      <w:r w:rsidRPr="00150CC4">
        <w:rPr>
          <w:sz w:val="22"/>
          <w:szCs w:val="22"/>
        </w:rPr>
        <w:t>:  The Women's Center is dedicated to issues of gender equity on campus. Its mission is to identify and meet the needs specific to women students. In doing so, non-female students may also profit from services provided through the Center. A primary goal of the Center is to foster a campus community where women and men can live, learn and work in an environment that promotes diversity, understanding, equality and mutual respect, and where women are encouraged to reach their full potential.  The Women’s Center is located in the Winnet Student Life Building, Suite S3-09</w:t>
      </w:r>
      <w:r w:rsidR="008C3566" w:rsidRPr="00150CC4">
        <w:rPr>
          <w:sz w:val="22"/>
          <w:szCs w:val="22"/>
        </w:rPr>
        <w:t xml:space="preserve">. Contact the Center at (215) 751-8808 or </w:t>
      </w:r>
      <w:hyperlink r:id="rId12" w:history="1">
        <w:r w:rsidR="008C3566" w:rsidRPr="00150CC4">
          <w:rPr>
            <w:rStyle w:val="Hyperlink"/>
            <w:color w:val="auto"/>
            <w:sz w:val="22"/>
            <w:szCs w:val="22"/>
          </w:rPr>
          <w:t>ccurry@ccp.edu</w:t>
        </w:r>
      </w:hyperlink>
      <w:r w:rsidR="008C3566" w:rsidRPr="00150CC4">
        <w:rPr>
          <w:sz w:val="22"/>
          <w:szCs w:val="22"/>
        </w:rPr>
        <w:t>.</w:t>
      </w:r>
    </w:p>
    <w:p w:rsidR="00163D6D" w:rsidRPr="00150CC4" w:rsidRDefault="00985D80" w:rsidP="008C3566">
      <w:pPr>
        <w:pStyle w:val="NormalWeb"/>
        <w:spacing w:line="255" w:lineRule="atLeast"/>
        <w:ind w:left="1080"/>
        <w:rPr>
          <w:sz w:val="22"/>
          <w:szCs w:val="22"/>
        </w:rPr>
      </w:pPr>
      <w:r w:rsidRPr="00150CC4">
        <w:rPr>
          <w:sz w:val="22"/>
          <w:szCs w:val="22"/>
        </w:rPr>
        <w:t xml:space="preserve"> </w:t>
      </w:r>
    </w:p>
    <w:tbl>
      <w:tblPr>
        <w:tblpPr w:leftFromText="180" w:rightFromText="180" w:vertAnchor="text" w:horzAnchor="margin" w:tblpY="-24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596"/>
        <w:gridCol w:w="2112"/>
        <w:gridCol w:w="2315"/>
        <w:gridCol w:w="4323"/>
      </w:tblGrid>
      <w:tr w:rsidR="003A17D2" w:rsidRPr="00150CC4" w:rsidTr="00C709A1">
        <w:tc>
          <w:tcPr>
            <w:tcW w:w="1596" w:type="dxa"/>
          </w:tcPr>
          <w:p w:rsidR="003A17D2" w:rsidRPr="00150CC4" w:rsidRDefault="00C709A1" w:rsidP="009E6EFC">
            <w:pPr>
              <w:jc w:val="center"/>
              <w:rPr>
                <w:b/>
                <w:bCs/>
                <w:sz w:val="22"/>
                <w:szCs w:val="22"/>
              </w:rPr>
            </w:pPr>
            <w:r w:rsidRPr="00150CC4">
              <w:rPr>
                <w:b/>
                <w:bCs/>
                <w:sz w:val="22"/>
                <w:szCs w:val="22"/>
              </w:rPr>
              <w:t>Module/</w:t>
            </w:r>
            <w:r w:rsidR="003A17D2" w:rsidRPr="00150CC4">
              <w:rPr>
                <w:b/>
                <w:bCs/>
                <w:sz w:val="22"/>
                <w:szCs w:val="22"/>
              </w:rPr>
              <w:t>Week</w:t>
            </w:r>
          </w:p>
        </w:tc>
        <w:tc>
          <w:tcPr>
            <w:tcW w:w="2112" w:type="dxa"/>
          </w:tcPr>
          <w:p w:rsidR="003A17D2" w:rsidRPr="00150CC4" w:rsidRDefault="003A17D2" w:rsidP="009E6EFC">
            <w:pPr>
              <w:pStyle w:val="Heading1"/>
              <w:rPr>
                <w:rFonts w:ascii="Times New Roman" w:hAnsi="Times New Roman"/>
                <w:sz w:val="22"/>
                <w:szCs w:val="22"/>
                <w:lang w:val="en-US" w:eastAsia="en-US"/>
              </w:rPr>
            </w:pPr>
            <w:r w:rsidRPr="00150CC4">
              <w:rPr>
                <w:rFonts w:ascii="Times New Roman" w:hAnsi="Times New Roman"/>
                <w:sz w:val="22"/>
                <w:szCs w:val="22"/>
                <w:lang w:val="en-US" w:eastAsia="en-US"/>
              </w:rPr>
              <w:t>Date</w:t>
            </w:r>
          </w:p>
        </w:tc>
        <w:tc>
          <w:tcPr>
            <w:tcW w:w="2315" w:type="dxa"/>
          </w:tcPr>
          <w:p w:rsidR="003A17D2" w:rsidRPr="00150CC4" w:rsidRDefault="003A17D2" w:rsidP="009E6EFC">
            <w:pPr>
              <w:jc w:val="center"/>
              <w:rPr>
                <w:b/>
                <w:bCs/>
                <w:sz w:val="22"/>
                <w:szCs w:val="22"/>
              </w:rPr>
            </w:pPr>
            <w:r w:rsidRPr="00150CC4">
              <w:rPr>
                <w:b/>
                <w:bCs/>
                <w:sz w:val="22"/>
                <w:szCs w:val="22"/>
              </w:rPr>
              <w:t>Reading</w:t>
            </w:r>
          </w:p>
        </w:tc>
        <w:tc>
          <w:tcPr>
            <w:tcW w:w="4323" w:type="dxa"/>
          </w:tcPr>
          <w:p w:rsidR="003A17D2" w:rsidRPr="00150CC4" w:rsidRDefault="003A17D2" w:rsidP="009E6EFC">
            <w:pPr>
              <w:jc w:val="center"/>
              <w:rPr>
                <w:b/>
                <w:bCs/>
                <w:sz w:val="22"/>
                <w:szCs w:val="22"/>
              </w:rPr>
            </w:pPr>
            <w:r w:rsidRPr="00150CC4">
              <w:rPr>
                <w:b/>
                <w:bCs/>
                <w:sz w:val="22"/>
                <w:szCs w:val="22"/>
              </w:rPr>
              <w:t>Topic</w:t>
            </w:r>
          </w:p>
        </w:tc>
      </w:tr>
      <w:tr w:rsidR="003A17D2" w:rsidRPr="00150CC4" w:rsidTr="00C709A1">
        <w:tc>
          <w:tcPr>
            <w:tcW w:w="1596" w:type="dxa"/>
          </w:tcPr>
          <w:p w:rsidR="003A17D2" w:rsidRPr="00150CC4" w:rsidRDefault="003A17D2" w:rsidP="009E6EFC">
            <w:pPr>
              <w:jc w:val="center"/>
              <w:rPr>
                <w:sz w:val="22"/>
                <w:szCs w:val="22"/>
              </w:rPr>
            </w:pPr>
            <w:r w:rsidRPr="00150CC4">
              <w:rPr>
                <w:sz w:val="22"/>
                <w:szCs w:val="22"/>
              </w:rPr>
              <w:t>1</w:t>
            </w:r>
          </w:p>
        </w:tc>
        <w:tc>
          <w:tcPr>
            <w:tcW w:w="2112" w:type="dxa"/>
          </w:tcPr>
          <w:p w:rsidR="003A17D2" w:rsidRPr="00150CC4" w:rsidRDefault="00C709A1" w:rsidP="00C709A1">
            <w:pPr>
              <w:rPr>
                <w:sz w:val="20"/>
                <w:szCs w:val="20"/>
              </w:rPr>
            </w:pPr>
            <w:r w:rsidRPr="00150CC4">
              <w:rPr>
                <w:sz w:val="20"/>
                <w:szCs w:val="20"/>
              </w:rPr>
              <w:t>May 13</w:t>
            </w:r>
            <w:r w:rsidR="009A006C">
              <w:rPr>
                <w:sz w:val="20"/>
                <w:szCs w:val="20"/>
              </w:rPr>
              <w:t xml:space="preserve"> </w:t>
            </w:r>
            <w:r w:rsidRPr="00150CC4">
              <w:rPr>
                <w:sz w:val="20"/>
                <w:szCs w:val="20"/>
              </w:rPr>
              <w:t>-</w:t>
            </w:r>
            <w:r w:rsidR="009A006C">
              <w:rPr>
                <w:sz w:val="20"/>
                <w:szCs w:val="20"/>
              </w:rPr>
              <w:t xml:space="preserve"> </w:t>
            </w:r>
            <w:r w:rsidRPr="00150CC4">
              <w:rPr>
                <w:sz w:val="20"/>
                <w:szCs w:val="20"/>
              </w:rPr>
              <w:t>May 19</w:t>
            </w:r>
          </w:p>
        </w:tc>
        <w:tc>
          <w:tcPr>
            <w:tcW w:w="2315" w:type="dxa"/>
            <w:vAlign w:val="center"/>
          </w:tcPr>
          <w:p w:rsidR="003A17D2" w:rsidRPr="00150CC4" w:rsidRDefault="003A17D2" w:rsidP="00BA060D">
            <w:pPr>
              <w:rPr>
                <w:sz w:val="22"/>
                <w:szCs w:val="22"/>
              </w:rPr>
            </w:pPr>
            <w:r w:rsidRPr="00150CC4">
              <w:rPr>
                <w:sz w:val="22"/>
                <w:szCs w:val="22"/>
              </w:rPr>
              <w:t>Chapter 1</w:t>
            </w:r>
          </w:p>
        </w:tc>
        <w:tc>
          <w:tcPr>
            <w:tcW w:w="4323" w:type="dxa"/>
          </w:tcPr>
          <w:p w:rsidR="009A006C" w:rsidRDefault="003A17D2" w:rsidP="009A006C">
            <w:pPr>
              <w:rPr>
                <w:sz w:val="22"/>
                <w:szCs w:val="22"/>
              </w:rPr>
            </w:pPr>
            <w:r w:rsidRPr="00150CC4">
              <w:rPr>
                <w:sz w:val="22"/>
                <w:szCs w:val="22"/>
              </w:rPr>
              <w:t>Introduction</w:t>
            </w:r>
          </w:p>
          <w:p w:rsidR="003A17D2" w:rsidRPr="00150CC4" w:rsidRDefault="009A006C" w:rsidP="009A006C">
            <w:pPr>
              <w:rPr>
                <w:sz w:val="22"/>
                <w:szCs w:val="22"/>
              </w:rPr>
            </w:pPr>
            <w:r>
              <w:rPr>
                <w:sz w:val="22"/>
                <w:szCs w:val="22"/>
              </w:rPr>
              <w:t>Childhood and Delinquency</w:t>
            </w:r>
          </w:p>
        </w:tc>
      </w:tr>
      <w:tr w:rsidR="003A17D2" w:rsidRPr="00150CC4" w:rsidTr="006E0291">
        <w:tc>
          <w:tcPr>
            <w:tcW w:w="1596" w:type="dxa"/>
          </w:tcPr>
          <w:p w:rsidR="003A17D2" w:rsidRPr="00150CC4" w:rsidRDefault="003A17D2" w:rsidP="009E6EFC">
            <w:pPr>
              <w:jc w:val="center"/>
              <w:rPr>
                <w:sz w:val="22"/>
                <w:szCs w:val="22"/>
              </w:rPr>
            </w:pPr>
            <w:r w:rsidRPr="00150CC4">
              <w:rPr>
                <w:sz w:val="22"/>
                <w:szCs w:val="22"/>
              </w:rPr>
              <w:t>2</w:t>
            </w:r>
          </w:p>
        </w:tc>
        <w:tc>
          <w:tcPr>
            <w:tcW w:w="2112" w:type="dxa"/>
          </w:tcPr>
          <w:p w:rsidR="003A17D2" w:rsidRPr="00150CC4" w:rsidRDefault="00C709A1" w:rsidP="00C709A1">
            <w:pPr>
              <w:rPr>
                <w:sz w:val="20"/>
                <w:szCs w:val="20"/>
              </w:rPr>
            </w:pPr>
            <w:r w:rsidRPr="00150CC4">
              <w:rPr>
                <w:sz w:val="20"/>
                <w:szCs w:val="20"/>
              </w:rPr>
              <w:t>May 20</w:t>
            </w:r>
            <w:r w:rsidR="009A006C">
              <w:rPr>
                <w:sz w:val="20"/>
                <w:szCs w:val="20"/>
              </w:rPr>
              <w:t xml:space="preserve"> </w:t>
            </w:r>
            <w:r w:rsidRPr="00150CC4">
              <w:rPr>
                <w:sz w:val="20"/>
                <w:szCs w:val="20"/>
              </w:rPr>
              <w:t>-</w:t>
            </w:r>
            <w:r w:rsidR="009A006C">
              <w:rPr>
                <w:sz w:val="20"/>
                <w:szCs w:val="20"/>
              </w:rPr>
              <w:t xml:space="preserve"> </w:t>
            </w:r>
            <w:r w:rsidRPr="00150CC4">
              <w:rPr>
                <w:sz w:val="20"/>
                <w:szCs w:val="20"/>
              </w:rPr>
              <w:t>May 26</w:t>
            </w:r>
          </w:p>
        </w:tc>
        <w:tc>
          <w:tcPr>
            <w:tcW w:w="2315" w:type="dxa"/>
            <w:vAlign w:val="center"/>
          </w:tcPr>
          <w:p w:rsidR="003A17D2" w:rsidRPr="00150CC4" w:rsidRDefault="00881E1F" w:rsidP="006E0291">
            <w:pPr>
              <w:pStyle w:val="Heading4"/>
              <w:rPr>
                <w:rFonts w:ascii="Times New Roman" w:hAnsi="Times New Roman"/>
                <w:b w:val="0"/>
                <w:bCs w:val="0"/>
                <w:sz w:val="22"/>
                <w:szCs w:val="22"/>
                <w:lang w:val="en-US"/>
              </w:rPr>
            </w:pPr>
            <w:r w:rsidRPr="00150CC4">
              <w:rPr>
                <w:rFonts w:ascii="Times New Roman" w:hAnsi="Times New Roman"/>
                <w:b w:val="0"/>
                <w:bCs w:val="0"/>
                <w:sz w:val="22"/>
                <w:szCs w:val="22"/>
                <w:lang w:val="en-US"/>
              </w:rPr>
              <w:t>Chapter</w:t>
            </w:r>
            <w:r w:rsidR="00C709A1" w:rsidRPr="00150CC4">
              <w:rPr>
                <w:rFonts w:ascii="Times New Roman" w:hAnsi="Times New Roman"/>
                <w:b w:val="0"/>
                <w:bCs w:val="0"/>
                <w:sz w:val="22"/>
                <w:szCs w:val="22"/>
                <w:lang w:val="en-US"/>
              </w:rPr>
              <w:t>s</w:t>
            </w:r>
            <w:r w:rsidRPr="00150CC4">
              <w:rPr>
                <w:rFonts w:ascii="Times New Roman" w:hAnsi="Times New Roman"/>
                <w:b w:val="0"/>
                <w:bCs w:val="0"/>
                <w:sz w:val="22"/>
                <w:szCs w:val="22"/>
                <w:lang w:val="en-US"/>
              </w:rPr>
              <w:t xml:space="preserve"> 2</w:t>
            </w:r>
            <w:r w:rsidR="00C709A1" w:rsidRPr="00150CC4">
              <w:rPr>
                <w:rFonts w:ascii="Times New Roman" w:hAnsi="Times New Roman"/>
                <w:b w:val="0"/>
                <w:bCs w:val="0"/>
                <w:sz w:val="22"/>
                <w:szCs w:val="22"/>
                <w:lang w:val="en-US"/>
              </w:rPr>
              <w:t xml:space="preserve"> and 3</w:t>
            </w:r>
          </w:p>
        </w:tc>
        <w:tc>
          <w:tcPr>
            <w:tcW w:w="4323" w:type="dxa"/>
          </w:tcPr>
          <w:p w:rsidR="003A17D2" w:rsidRDefault="009A006C" w:rsidP="00A93DD9">
            <w:pPr>
              <w:rPr>
                <w:sz w:val="22"/>
                <w:szCs w:val="22"/>
              </w:rPr>
            </w:pPr>
            <w:r>
              <w:rPr>
                <w:sz w:val="22"/>
                <w:szCs w:val="22"/>
              </w:rPr>
              <w:t>The Extent of Delinquency</w:t>
            </w:r>
          </w:p>
          <w:p w:rsidR="009A006C" w:rsidRPr="00150CC4" w:rsidRDefault="009A006C" w:rsidP="009A006C">
            <w:pPr>
              <w:rPr>
                <w:sz w:val="22"/>
                <w:szCs w:val="22"/>
              </w:rPr>
            </w:pPr>
            <w:r>
              <w:rPr>
                <w:sz w:val="22"/>
                <w:szCs w:val="22"/>
              </w:rPr>
              <w:t>Individual Views of Delinquency</w:t>
            </w:r>
          </w:p>
        </w:tc>
      </w:tr>
      <w:tr w:rsidR="00881E1F" w:rsidRPr="00150CC4" w:rsidTr="00C709A1">
        <w:tc>
          <w:tcPr>
            <w:tcW w:w="1596" w:type="dxa"/>
          </w:tcPr>
          <w:p w:rsidR="00881E1F" w:rsidRPr="00150CC4" w:rsidRDefault="00881E1F" w:rsidP="00881E1F">
            <w:pPr>
              <w:jc w:val="center"/>
              <w:rPr>
                <w:sz w:val="22"/>
                <w:szCs w:val="22"/>
              </w:rPr>
            </w:pPr>
            <w:r w:rsidRPr="00150CC4">
              <w:rPr>
                <w:sz w:val="22"/>
                <w:szCs w:val="22"/>
              </w:rPr>
              <w:t>3</w:t>
            </w:r>
          </w:p>
        </w:tc>
        <w:tc>
          <w:tcPr>
            <w:tcW w:w="2112" w:type="dxa"/>
          </w:tcPr>
          <w:p w:rsidR="00881E1F" w:rsidRPr="00150CC4" w:rsidRDefault="00C709A1" w:rsidP="00C709A1">
            <w:pPr>
              <w:rPr>
                <w:sz w:val="20"/>
                <w:szCs w:val="20"/>
              </w:rPr>
            </w:pPr>
            <w:r w:rsidRPr="00150CC4">
              <w:rPr>
                <w:sz w:val="20"/>
                <w:szCs w:val="20"/>
              </w:rPr>
              <w:t>May 27</w:t>
            </w:r>
            <w:r w:rsidR="009A006C">
              <w:rPr>
                <w:sz w:val="20"/>
                <w:szCs w:val="20"/>
              </w:rPr>
              <w:t xml:space="preserve"> </w:t>
            </w:r>
            <w:r w:rsidRPr="00150CC4">
              <w:rPr>
                <w:sz w:val="20"/>
                <w:szCs w:val="20"/>
              </w:rPr>
              <w:t>-</w:t>
            </w:r>
            <w:r w:rsidR="009A006C">
              <w:rPr>
                <w:sz w:val="20"/>
                <w:szCs w:val="20"/>
              </w:rPr>
              <w:t xml:space="preserve"> </w:t>
            </w:r>
            <w:r w:rsidRPr="00150CC4">
              <w:rPr>
                <w:sz w:val="20"/>
                <w:szCs w:val="20"/>
              </w:rPr>
              <w:t>June 2</w:t>
            </w:r>
          </w:p>
        </w:tc>
        <w:tc>
          <w:tcPr>
            <w:tcW w:w="2315" w:type="dxa"/>
            <w:vAlign w:val="center"/>
          </w:tcPr>
          <w:p w:rsidR="00881E1F" w:rsidRPr="00150CC4" w:rsidRDefault="00C709A1" w:rsidP="00C709A1">
            <w:pPr>
              <w:rPr>
                <w:snapToGrid w:val="0"/>
                <w:color w:val="000000"/>
                <w:sz w:val="22"/>
                <w:szCs w:val="22"/>
              </w:rPr>
            </w:pPr>
            <w:r w:rsidRPr="00150CC4">
              <w:rPr>
                <w:bCs/>
                <w:sz w:val="22"/>
                <w:szCs w:val="22"/>
              </w:rPr>
              <w:t>Chapters 4 and 6</w:t>
            </w:r>
          </w:p>
        </w:tc>
        <w:tc>
          <w:tcPr>
            <w:tcW w:w="4323" w:type="dxa"/>
          </w:tcPr>
          <w:p w:rsidR="00874A40" w:rsidRDefault="009A006C" w:rsidP="00881E1F">
            <w:pPr>
              <w:rPr>
                <w:sz w:val="22"/>
                <w:szCs w:val="22"/>
              </w:rPr>
            </w:pPr>
            <w:r w:rsidRPr="009A006C">
              <w:rPr>
                <w:sz w:val="22"/>
                <w:szCs w:val="22"/>
              </w:rPr>
              <w:t xml:space="preserve">Structure and Process </w:t>
            </w:r>
            <w:r>
              <w:rPr>
                <w:sz w:val="22"/>
                <w:szCs w:val="22"/>
              </w:rPr>
              <w:t>Views</w:t>
            </w:r>
          </w:p>
          <w:p w:rsidR="009A006C" w:rsidRPr="009A006C" w:rsidRDefault="009A006C" w:rsidP="00881E1F">
            <w:pPr>
              <w:rPr>
                <w:sz w:val="22"/>
                <w:szCs w:val="22"/>
              </w:rPr>
            </w:pPr>
            <w:r>
              <w:rPr>
                <w:sz w:val="22"/>
                <w:szCs w:val="22"/>
              </w:rPr>
              <w:t>Developmental Theories</w:t>
            </w:r>
          </w:p>
        </w:tc>
      </w:tr>
      <w:tr w:rsidR="00881E1F" w:rsidRPr="00150CC4" w:rsidTr="00C709A1">
        <w:tc>
          <w:tcPr>
            <w:tcW w:w="1596" w:type="dxa"/>
          </w:tcPr>
          <w:p w:rsidR="00881E1F" w:rsidRPr="00150CC4" w:rsidRDefault="00881E1F" w:rsidP="00881E1F">
            <w:pPr>
              <w:jc w:val="center"/>
              <w:rPr>
                <w:sz w:val="22"/>
                <w:szCs w:val="22"/>
              </w:rPr>
            </w:pPr>
            <w:r w:rsidRPr="00150CC4">
              <w:rPr>
                <w:sz w:val="22"/>
                <w:szCs w:val="22"/>
              </w:rPr>
              <w:t>4</w:t>
            </w:r>
          </w:p>
        </w:tc>
        <w:tc>
          <w:tcPr>
            <w:tcW w:w="2112" w:type="dxa"/>
          </w:tcPr>
          <w:p w:rsidR="00881E1F" w:rsidRPr="00150CC4" w:rsidRDefault="00C709A1" w:rsidP="00C709A1">
            <w:pPr>
              <w:rPr>
                <w:snapToGrid w:val="0"/>
                <w:color w:val="000000"/>
                <w:sz w:val="20"/>
                <w:szCs w:val="20"/>
              </w:rPr>
            </w:pPr>
            <w:r w:rsidRPr="00150CC4">
              <w:rPr>
                <w:snapToGrid w:val="0"/>
                <w:color w:val="000000"/>
                <w:sz w:val="20"/>
                <w:szCs w:val="20"/>
              </w:rPr>
              <w:t>June 3</w:t>
            </w:r>
            <w:r w:rsidR="009A006C">
              <w:rPr>
                <w:snapToGrid w:val="0"/>
                <w:color w:val="000000"/>
                <w:sz w:val="20"/>
                <w:szCs w:val="20"/>
              </w:rPr>
              <w:t xml:space="preserve"> </w:t>
            </w:r>
            <w:r w:rsidRPr="00150CC4">
              <w:rPr>
                <w:snapToGrid w:val="0"/>
                <w:color w:val="000000"/>
                <w:sz w:val="20"/>
                <w:szCs w:val="20"/>
              </w:rPr>
              <w:t>-</w:t>
            </w:r>
            <w:r w:rsidR="009A006C">
              <w:rPr>
                <w:snapToGrid w:val="0"/>
                <w:color w:val="000000"/>
                <w:sz w:val="20"/>
                <w:szCs w:val="20"/>
              </w:rPr>
              <w:t xml:space="preserve"> </w:t>
            </w:r>
            <w:r w:rsidRPr="00150CC4">
              <w:rPr>
                <w:snapToGrid w:val="0"/>
                <w:color w:val="000000"/>
                <w:sz w:val="20"/>
                <w:szCs w:val="20"/>
              </w:rPr>
              <w:t>June 9</w:t>
            </w:r>
          </w:p>
        </w:tc>
        <w:tc>
          <w:tcPr>
            <w:tcW w:w="2315" w:type="dxa"/>
            <w:vAlign w:val="center"/>
          </w:tcPr>
          <w:p w:rsidR="00881E1F" w:rsidRPr="00150CC4" w:rsidRDefault="00881E1F" w:rsidP="00C709A1">
            <w:pPr>
              <w:rPr>
                <w:snapToGrid w:val="0"/>
                <w:color w:val="000000"/>
                <w:sz w:val="22"/>
                <w:szCs w:val="22"/>
              </w:rPr>
            </w:pPr>
            <w:r w:rsidRPr="00150CC4">
              <w:rPr>
                <w:snapToGrid w:val="0"/>
                <w:color w:val="000000"/>
                <w:sz w:val="22"/>
                <w:szCs w:val="22"/>
              </w:rPr>
              <w:t>Chapter</w:t>
            </w:r>
            <w:r w:rsidR="00C709A1" w:rsidRPr="00150CC4">
              <w:rPr>
                <w:snapToGrid w:val="0"/>
                <w:color w:val="000000"/>
                <w:sz w:val="22"/>
                <w:szCs w:val="22"/>
              </w:rPr>
              <w:t>s 7,8 and 9</w:t>
            </w:r>
          </w:p>
        </w:tc>
        <w:tc>
          <w:tcPr>
            <w:tcW w:w="4323" w:type="dxa"/>
          </w:tcPr>
          <w:p w:rsidR="00881E1F" w:rsidRDefault="009A006C" w:rsidP="00881E1F">
            <w:pPr>
              <w:rPr>
                <w:sz w:val="22"/>
                <w:szCs w:val="22"/>
              </w:rPr>
            </w:pPr>
            <w:r>
              <w:rPr>
                <w:sz w:val="22"/>
                <w:szCs w:val="22"/>
              </w:rPr>
              <w:t>Gender, Family and Delinquency</w:t>
            </w:r>
          </w:p>
          <w:p w:rsidR="00881E1F" w:rsidRPr="00150CC4" w:rsidRDefault="009A006C" w:rsidP="009A006C">
            <w:pPr>
              <w:rPr>
                <w:sz w:val="22"/>
                <w:szCs w:val="22"/>
              </w:rPr>
            </w:pPr>
            <w:r>
              <w:rPr>
                <w:sz w:val="22"/>
                <w:szCs w:val="22"/>
              </w:rPr>
              <w:t>Peers and Delinquency (Gangs)</w:t>
            </w:r>
          </w:p>
        </w:tc>
      </w:tr>
      <w:tr w:rsidR="00881E1F" w:rsidRPr="00150CC4" w:rsidTr="00C709A1">
        <w:tc>
          <w:tcPr>
            <w:tcW w:w="1596" w:type="dxa"/>
          </w:tcPr>
          <w:p w:rsidR="00881E1F" w:rsidRPr="00150CC4" w:rsidRDefault="00881E1F" w:rsidP="00881E1F">
            <w:pPr>
              <w:jc w:val="center"/>
              <w:rPr>
                <w:sz w:val="22"/>
                <w:szCs w:val="22"/>
              </w:rPr>
            </w:pPr>
            <w:r w:rsidRPr="00150CC4">
              <w:rPr>
                <w:sz w:val="22"/>
                <w:szCs w:val="22"/>
              </w:rPr>
              <w:t>5</w:t>
            </w:r>
          </w:p>
        </w:tc>
        <w:tc>
          <w:tcPr>
            <w:tcW w:w="2112" w:type="dxa"/>
          </w:tcPr>
          <w:p w:rsidR="00881E1F" w:rsidRPr="00150CC4" w:rsidRDefault="00C709A1" w:rsidP="00C709A1">
            <w:pPr>
              <w:rPr>
                <w:sz w:val="20"/>
                <w:szCs w:val="20"/>
              </w:rPr>
            </w:pPr>
            <w:r w:rsidRPr="00150CC4">
              <w:rPr>
                <w:sz w:val="20"/>
                <w:szCs w:val="20"/>
              </w:rPr>
              <w:t>June 10</w:t>
            </w:r>
            <w:r w:rsidR="009A006C">
              <w:rPr>
                <w:sz w:val="20"/>
                <w:szCs w:val="20"/>
              </w:rPr>
              <w:t xml:space="preserve"> </w:t>
            </w:r>
            <w:r w:rsidRPr="00150CC4">
              <w:rPr>
                <w:sz w:val="20"/>
                <w:szCs w:val="20"/>
              </w:rPr>
              <w:t>-</w:t>
            </w:r>
            <w:r w:rsidR="009A006C">
              <w:rPr>
                <w:sz w:val="20"/>
                <w:szCs w:val="20"/>
              </w:rPr>
              <w:t xml:space="preserve"> </w:t>
            </w:r>
            <w:r w:rsidRPr="00150CC4">
              <w:rPr>
                <w:sz w:val="20"/>
                <w:szCs w:val="20"/>
              </w:rPr>
              <w:t>June 16</w:t>
            </w:r>
          </w:p>
        </w:tc>
        <w:tc>
          <w:tcPr>
            <w:tcW w:w="2315" w:type="dxa"/>
            <w:vAlign w:val="center"/>
          </w:tcPr>
          <w:p w:rsidR="00881E1F" w:rsidRPr="00150CC4" w:rsidRDefault="00881E1F" w:rsidP="00C709A1">
            <w:pPr>
              <w:rPr>
                <w:sz w:val="22"/>
                <w:szCs w:val="22"/>
              </w:rPr>
            </w:pPr>
            <w:r w:rsidRPr="00150CC4">
              <w:rPr>
                <w:snapToGrid w:val="0"/>
                <w:color w:val="000000"/>
                <w:sz w:val="22"/>
                <w:szCs w:val="22"/>
              </w:rPr>
              <w:t>Chapter</w:t>
            </w:r>
            <w:r w:rsidR="00C709A1" w:rsidRPr="00150CC4">
              <w:rPr>
                <w:snapToGrid w:val="0"/>
                <w:color w:val="000000"/>
                <w:sz w:val="22"/>
                <w:szCs w:val="22"/>
              </w:rPr>
              <w:t>s 10,11,12</w:t>
            </w:r>
          </w:p>
        </w:tc>
        <w:tc>
          <w:tcPr>
            <w:tcW w:w="4323" w:type="dxa"/>
          </w:tcPr>
          <w:p w:rsidR="00C709A1" w:rsidRPr="00150CC4" w:rsidRDefault="00C709A1" w:rsidP="00881E1F">
            <w:pPr>
              <w:rPr>
                <w:sz w:val="22"/>
                <w:szCs w:val="22"/>
              </w:rPr>
            </w:pPr>
            <w:r w:rsidRPr="00150CC4">
              <w:rPr>
                <w:sz w:val="22"/>
                <w:szCs w:val="22"/>
              </w:rPr>
              <w:t>Delinquency and Schools, Drugs</w:t>
            </w:r>
          </w:p>
          <w:p w:rsidR="00881E1F" w:rsidRPr="00150CC4" w:rsidRDefault="00C709A1" w:rsidP="00C709A1">
            <w:pPr>
              <w:rPr>
                <w:sz w:val="22"/>
                <w:szCs w:val="22"/>
              </w:rPr>
            </w:pPr>
            <w:r w:rsidRPr="00150CC4">
              <w:rPr>
                <w:sz w:val="22"/>
                <w:szCs w:val="22"/>
              </w:rPr>
              <w:t>Delinquency Prevention</w:t>
            </w:r>
          </w:p>
        </w:tc>
      </w:tr>
      <w:tr w:rsidR="00881E1F" w:rsidRPr="00150CC4" w:rsidTr="006E0291">
        <w:tc>
          <w:tcPr>
            <w:tcW w:w="1596" w:type="dxa"/>
          </w:tcPr>
          <w:p w:rsidR="00881E1F" w:rsidRPr="00150CC4" w:rsidRDefault="00881E1F" w:rsidP="00881E1F">
            <w:pPr>
              <w:jc w:val="center"/>
              <w:rPr>
                <w:sz w:val="22"/>
                <w:szCs w:val="22"/>
              </w:rPr>
            </w:pPr>
            <w:r w:rsidRPr="00150CC4">
              <w:rPr>
                <w:sz w:val="22"/>
                <w:szCs w:val="22"/>
              </w:rPr>
              <w:t>6</w:t>
            </w:r>
          </w:p>
        </w:tc>
        <w:tc>
          <w:tcPr>
            <w:tcW w:w="2112" w:type="dxa"/>
          </w:tcPr>
          <w:p w:rsidR="00881E1F" w:rsidRPr="00150CC4" w:rsidRDefault="00C709A1" w:rsidP="00881E1F">
            <w:pPr>
              <w:rPr>
                <w:sz w:val="20"/>
                <w:szCs w:val="20"/>
              </w:rPr>
            </w:pPr>
            <w:r w:rsidRPr="00150CC4">
              <w:rPr>
                <w:sz w:val="20"/>
                <w:szCs w:val="20"/>
              </w:rPr>
              <w:t>June 17</w:t>
            </w:r>
            <w:r w:rsidR="009A006C">
              <w:rPr>
                <w:sz w:val="20"/>
                <w:szCs w:val="20"/>
              </w:rPr>
              <w:t xml:space="preserve"> </w:t>
            </w:r>
            <w:r w:rsidRPr="00150CC4">
              <w:rPr>
                <w:sz w:val="20"/>
                <w:szCs w:val="20"/>
              </w:rPr>
              <w:t>-</w:t>
            </w:r>
            <w:r w:rsidR="009A006C">
              <w:rPr>
                <w:sz w:val="20"/>
                <w:szCs w:val="20"/>
              </w:rPr>
              <w:t xml:space="preserve"> </w:t>
            </w:r>
            <w:r w:rsidRPr="00150CC4">
              <w:rPr>
                <w:sz w:val="20"/>
                <w:szCs w:val="20"/>
              </w:rPr>
              <w:t>June 24</w:t>
            </w:r>
          </w:p>
        </w:tc>
        <w:tc>
          <w:tcPr>
            <w:tcW w:w="2315" w:type="dxa"/>
          </w:tcPr>
          <w:p w:rsidR="00881E1F" w:rsidRPr="00150CC4" w:rsidRDefault="00881E1F" w:rsidP="006E0291">
            <w:pPr>
              <w:pStyle w:val="Heading3"/>
              <w:rPr>
                <w:rFonts w:ascii="Times New Roman" w:hAnsi="Times New Roman"/>
                <w:b w:val="0"/>
                <w:bCs w:val="0"/>
                <w:sz w:val="22"/>
                <w:szCs w:val="22"/>
                <w:lang w:val="en-US"/>
              </w:rPr>
            </w:pPr>
            <w:r w:rsidRPr="00150CC4">
              <w:rPr>
                <w:rFonts w:ascii="Times New Roman" w:hAnsi="Times New Roman"/>
                <w:b w:val="0"/>
                <w:sz w:val="22"/>
                <w:szCs w:val="22"/>
              </w:rPr>
              <w:t>Chapter</w:t>
            </w:r>
            <w:r w:rsidR="00E32C0E" w:rsidRPr="00150CC4">
              <w:rPr>
                <w:rFonts w:ascii="Times New Roman" w:hAnsi="Times New Roman"/>
                <w:b w:val="0"/>
                <w:sz w:val="22"/>
                <w:szCs w:val="22"/>
                <w:lang w:val="en-US"/>
              </w:rPr>
              <w:t>s 13, 14</w:t>
            </w:r>
            <w:r w:rsidR="006E0291">
              <w:rPr>
                <w:rFonts w:ascii="Times New Roman" w:hAnsi="Times New Roman"/>
                <w:b w:val="0"/>
                <w:sz w:val="22"/>
                <w:szCs w:val="22"/>
                <w:lang w:val="en-US"/>
              </w:rPr>
              <w:t>,15</w:t>
            </w:r>
            <w:r w:rsidR="00E32C0E" w:rsidRPr="00150CC4">
              <w:rPr>
                <w:rFonts w:ascii="Times New Roman" w:hAnsi="Times New Roman"/>
                <w:b w:val="0"/>
                <w:sz w:val="22"/>
                <w:szCs w:val="22"/>
                <w:lang w:val="en-US"/>
              </w:rPr>
              <w:t xml:space="preserve"> and 1</w:t>
            </w:r>
            <w:r w:rsidR="006E0291">
              <w:rPr>
                <w:rFonts w:ascii="Times New Roman" w:hAnsi="Times New Roman"/>
                <w:b w:val="0"/>
                <w:sz w:val="22"/>
                <w:szCs w:val="22"/>
                <w:lang w:val="en-US"/>
              </w:rPr>
              <w:t>6</w:t>
            </w:r>
          </w:p>
        </w:tc>
        <w:tc>
          <w:tcPr>
            <w:tcW w:w="4323" w:type="dxa"/>
            <w:vAlign w:val="center"/>
          </w:tcPr>
          <w:p w:rsidR="00874A40" w:rsidRDefault="00E32C0E" w:rsidP="00E32C0E">
            <w:pPr>
              <w:rPr>
                <w:sz w:val="22"/>
                <w:szCs w:val="22"/>
              </w:rPr>
            </w:pPr>
            <w:r w:rsidRPr="00150CC4">
              <w:rPr>
                <w:sz w:val="22"/>
                <w:szCs w:val="22"/>
              </w:rPr>
              <w:t>History of Juvenile Court, Police and Juveniles, Juvenile Court Processes</w:t>
            </w:r>
          </w:p>
          <w:p w:rsidR="006E0291" w:rsidRPr="00150CC4" w:rsidRDefault="006E0291" w:rsidP="00E32C0E">
            <w:pPr>
              <w:rPr>
                <w:b/>
                <w:sz w:val="22"/>
                <w:szCs w:val="22"/>
              </w:rPr>
            </w:pPr>
            <w:r>
              <w:rPr>
                <w:sz w:val="22"/>
                <w:szCs w:val="22"/>
              </w:rPr>
              <w:t>Juvenile Corrections</w:t>
            </w:r>
          </w:p>
        </w:tc>
      </w:tr>
      <w:tr w:rsidR="00881E1F" w:rsidRPr="00150CC4" w:rsidTr="006E0291">
        <w:tc>
          <w:tcPr>
            <w:tcW w:w="1596" w:type="dxa"/>
          </w:tcPr>
          <w:p w:rsidR="00881E1F" w:rsidRPr="00150CC4" w:rsidRDefault="00881E1F" w:rsidP="00881E1F">
            <w:pPr>
              <w:jc w:val="center"/>
              <w:rPr>
                <w:sz w:val="22"/>
                <w:szCs w:val="22"/>
              </w:rPr>
            </w:pPr>
            <w:r w:rsidRPr="00150CC4">
              <w:rPr>
                <w:sz w:val="22"/>
                <w:szCs w:val="22"/>
              </w:rPr>
              <w:t>7</w:t>
            </w:r>
          </w:p>
        </w:tc>
        <w:tc>
          <w:tcPr>
            <w:tcW w:w="2112" w:type="dxa"/>
          </w:tcPr>
          <w:p w:rsidR="00881E1F" w:rsidRPr="00150CC4" w:rsidRDefault="00C709A1" w:rsidP="00C709A1">
            <w:pPr>
              <w:rPr>
                <w:sz w:val="20"/>
                <w:szCs w:val="20"/>
              </w:rPr>
            </w:pPr>
            <w:r w:rsidRPr="00150CC4">
              <w:rPr>
                <w:sz w:val="20"/>
                <w:szCs w:val="20"/>
              </w:rPr>
              <w:t>June 24</w:t>
            </w:r>
            <w:r w:rsidR="009A006C">
              <w:rPr>
                <w:sz w:val="20"/>
                <w:szCs w:val="20"/>
              </w:rPr>
              <w:t xml:space="preserve"> </w:t>
            </w:r>
            <w:r w:rsidRPr="00150CC4">
              <w:rPr>
                <w:sz w:val="20"/>
                <w:szCs w:val="20"/>
              </w:rPr>
              <w:t>-</w:t>
            </w:r>
            <w:r w:rsidR="009A006C">
              <w:rPr>
                <w:sz w:val="20"/>
                <w:szCs w:val="20"/>
              </w:rPr>
              <w:t xml:space="preserve"> </w:t>
            </w:r>
            <w:r w:rsidRPr="00150CC4">
              <w:rPr>
                <w:sz w:val="20"/>
                <w:szCs w:val="20"/>
              </w:rPr>
              <w:t>June 27</w:t>
            </w:r>
          </w:p>
        </w:tc>
        <w:tc>
          <w:tcPr>
            <w:tcW w:w="2315" w:type="dxa"/>
            <w:vAlign w:val="center"/>
          </w:tcPr>
          <w:p w:rsidR="00881E1F" w:rsidRPr="00150CC4" w:rsidRDefault="00881E1F" w:rsidP="00881E1F">
            <w:pPr>
              <w:pStyle w:val="Heading3"/>
              <w:rPr>
                <w:rFonts w:ascii="Times New Roman" w:hAnsi="Times New Roman"/>
                <w:b w:val="0"/>
                <w:sz w:val="22"/>
                <w:szCs w:val="22"/>
                <w:lang w:val="en-US"/>
              </w:rPr>
            </w:pPr>
          </w:p>
        </w:tc>
        <w:tc>
          <w:tcPr>
            <w:tcW w:w="4323" w:type="dxa"/>
            <w:vAlign w:val="center"/>
          </w:tcPr>
          <w:p w:rsidR="00881E1F" w:rsidRPr="009A006C" w:rsidRDefault="00E32C0E" w:rsidP="006E0291">
            <w:pPr>
              <w:rPr>
                <w:b/>
                <w:sz w:val="22"/>
                <w:szCs w:val="22"/>
              </w:rPr>
            </w:pPr>
            <w:r w:rsidRPr="009A006C">
              <w:rPr>
                <w:b/>
                <w:sz w:val="22"/>
                <w:szCs w:val="22"/>
              </w:rPr>
              <w:t>Final Exam</w:t>
            </w:r>
          </w:p>
        </w:tc>
      </w:tr>
    </w:tbl>
    <w:p w:rsidR="00163D6D" w:rsidRPr="00150CC4" w:rsidRDefault="00163D6D" w:rsidP="00163D6D">
      <w:pPr>
        <w:rPr>
          <w:sz w:val="22"/>
          <w:szCs w:val="22"/>
        </w:rPr>
      </w:pPr>
    </w:p>
    <w:p w:rsidR="00163D6D" w:rsidRPr="00150CC4" w:rsidRDefault="00163D6D" w:rsidP="00163D6D">
      <w:pPr>
        <w:jc w:val="center"/>
        <w:rPr>
          <w:i/>
          <w:sz w:val="22"/>
          <w:szCs w:val="22"/>
        </w:rPr>
      </w:pPr>
    </w:p>
    <w:p w:rsidR="00AC271A" w:rsidRPr="00150CC4" w:rsidRDefault="00AC271A" w:rsidP="00163D6D">
      <w:pPr>
        <w:rPr>
          <w:sz w:val="22"/>
          <w:szCs w:val="22"/>
        </w:rPr>
      </w:pPr>
    </w:p>
    <w:sectPr w:rsidR="00AC271A" w:rsidRPr="00150CC4" w:rsidSect="00021C9A">
      <w:footerReference w:type="default" r:id="rId13"/>
      <w:pgSz w:w="12240" w:h="15840"/>
      <w:pgMar w:top="1008" w:right="1008" w:bottom="1008" w:left="1008"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0AA0" w:rsidRDefault="009B0AA0" w:rsidP="00C02E5C">
      <w:r>
        <w:separator/>
      </w:r>
    </w:p>
  </w:endnote>
  <w:endnote w:type="continuationSeparator" w:id="0">
    <w:p w:rsidR="009B0AA0" w:rsidRDefault="009B0AA0" w:rsidP="00C02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MS PMincho"/>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D1C" w:rsidRDefault="00A53D1C">
    <w:pPr>
      <w:pStyle w:val="Footer"/>
      <w:jc w:val="right"/>
    </w:pPr>
    <w:r>
      <w:t xml:space="preserve">Page </w:t>
    </w:r>
    <w:r>
      <w:rPr>
        <w:b/>
      </w:rPr>
      <w:fldChar w:fldCharType="begin"/>
    </w:r>
    <w:r>
      <w:rPr>
        <w:b/>
      </w:rPr>
      <w:instrText xml:space="preserve"> PAGE </w:instrText>
    </w:r>
    <w:r>
      <w:rPr>
        <w:b/>
      </w:rPr>
      <w:fldChar w:fldCharType="separate"/>
    </w:r>
    <w:r w:rsidR="009B0AA0">
      <w:rPr>
        <w:b/>
        <w:noProof/>
      </w:rPr>
      <w:t>1</w:t>
    </w:r>
    <w:r>
      <w:rPr>
        <w:b/>
      </w:rPr>
      <w:fldChar w:fldCharType="end"/>
    </w:r>
    <w:r>
      <w:t xml:space="preserve"> of </w:t>
    </w:r>
    <w:r>
      <w:rPr>
        <w:b/>
      </w:rPr>
      <w:fldChar w:fldCharType="begin"/>
    </w:r>
    <w:r>
      <w:rPr>
        <w:b/>
      </w:rPr>
      <w:instrText xml:space="preserve"> NUMPAGES  </w:instrText>
    </w:r>
    <w:r>
      <w:rPr>
        <w:b/>
      </w:rPr>
      <w:fldChar w:fldCharType="separate"/>
    </w:r>
    <w:r w:rsidR="009B0AA0">
      <w:rPr>
        <w:b/>
        <w:noProof/>
      </w:rPr>
      <w:t>1</w:t>
    </w:r>
    <w:r>
      <w:rPr>
        <w:b/>
      </w:rPr>
      <w:fldChar w:fldCharType="end"/>
    </w:r>
  </w:p>
  <w:p w:rsidR="00A53D1C" w:rsidRDefault="00A53D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0AA0" w:rsidRDefault="009B0AA0" w:rsidP="00C02E5C">
      <w:r>
        <w:separator/>
      </w:r>
    </w:p>
  </w:footnote>
  <w:footnote w:type="continuationSeparator" w:id="0">
    <w:p w:rsidR="009B0AA0" w:rsidRDefault="009B0AA0" w:rsidP="00C02E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1D8D992"/>
    <w:lvl w:ilvl="0">
      <w:numFmt w:val="decimal"/>
      <w:lvlText w:val="*"/>
      <w:lvlJc w:val="left"/>
    </w:lvl>
  </w:abstractNum>
  <w:abstractNum w:abstractNumId="1">
    <w:nsid w:val="10750702"/>
    <w:multiLevelType w:val="hybridMultilevel"/>
    <w:tmpl w:val="D8B8BA88"/>
    <w:lvl w:ilvl="0" w:tplc="04090001">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cs="Times New Roman"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cs="Times New Roman"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cs="Times New Roman"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2">
    <w:nsid w:val="1E2238B0"/>
    <w:multiLevelType w:val="hybridMultilevel"/>
    <w:tmpl w:val="10469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4B5D74"/>
    <w:multiLevelType w:val="hybridMultilevel"/>
    <w:tmpl w:val="B2DC20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7720C46"/>
    <w:multiLevelType w:val="hybridMultilevel"/>
    <w:tmpl w:val="431265E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292E0329"/>
    <w:multiLevelType w:val="hybridMultilevel"/>
    <w:tmpl w:val="FC5E5DD4"/>
    <w:lvl w:ilvl="0" w:tplc="04090015">
      <w:start w:val="1"/>
      <w:numFmt w:val="upperLetter"/>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6">
    <w:nsid w:val="30A30950"/>
    <w:multiLevelType w:val="hybridMultilevel"/>
    <w:tmpl w:val="CA3E4CE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44790C28"/>
    <w:multiLevelType w:val="hybridMultilevel"/>
    <w:tmpl w:val="6E3A0DF8"/>
    <w:lvl w:ilvl="0" w:tplc="04090001">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cs="Times New Roman"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cs="Times New Roman"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cs="Times New Roman"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8">
    <w:nsid w:val="52C6314C"/>
    <w:multiLevelType w:val="hybridMultilevel"/>
    <w:tmpl w:val="FC5E5DD4"/>
    <w:lvl w:ilvl="0" w:tplc="04090015">
      <w:start w:val="1"/>
      <w:numFmt w:val="upperLetter"/>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num w:numId="1">
    <w:abstractNumId w:val="3"/>
  </w:num>
  <w:num w:numId="2">
    <w:abstractNumId w:val="4"/>
  </w:num>
  <w:num w:numId="3">
    <w:abstractNumId w:val="6"/>
  </w:num>
  <w:num w:numId="4">
    <w:abstractNumId w:val="5"/>
  </w:num>
  <w:num w:numId="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6">
    <w:abstractNumId w:val="7"/>
  </w:num>
  <w:num w:numId="7">
    <w:abstractNumId w:val="1"/>
  </w:num>
  <w:num w:numId="8">
    <w:abstractNumId w:val="2"/>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9"/>
  <w:defaultTabStop w:val="720"/>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A7B"/>
    <w:rsid w:val="00007490"/>
    <w:rsid w:val="00021C9A"/>
    <w:rsid w:val="000332C9"/>
    <w:rsid w:val="00034FC8"/>
    <w:rsid w:val="00042D65"/>
    <w:rsid w:val="00056299"/>
    <w:rsid w:val="000636E3"/>
    <w:rsid w:val="00065F00"/>
    <w:rsid w:val="0008203F"/>
    <w:rsid w:val="000C1613"/>
    <w:rsid w:val="000C5CD8"/>
    <w:rsid w:val="000F4828"/>
    <w:rsid w:val="00101774"/>
    <w:rsid w:val="00102243"/>
    <w:rsid w:val="00105D83"/>
    <w:rsid w:val="00105E06"/>
    <w:rsid w:val="0011602D"/>
    <w:rsid w:val="001375B9"/>
    <w:rsid w:val="00137868"/>
    <w:rsid w:val="001436F3"/>
    <w:rsid w:val="00144447"/>
    <w:rsid w:val="0014647F"/>
    <w:rsid w:val="00150CC4"/>
    <w:rsid w:val="0015507F"/>
    <w:rsid w:val="00163D6D"/>
    <w:rsid w:val="001921EA"/>
    <w:rsid w:val="001A4DAF"/>
    <w:rsid w:val="001B610E"/>
    <w:rsid w:val="001D4A55"/>
    <w:rsid w:val="001F3D4F"/>
    <w:rsid w:val="002034CB"/>
    <w:rsid w:val="002173AC"/>
    <w:rsid w:val="00217A7B"/>
    <w:rsid w:val="00227AD3"/>
    <w:rsid w:val="00245112"/>
    <w:rsid w:val="00252047"/>
    <w:rsid w:val="002569BA"/>
    <w:rsid w:val="002979F2"/>
    <w:rsid w:val="002E393F"/>
    <w:rsid w:val="002E40AA"/>
    <w:rsid w:val="003019E0"/>
    <w:rsid w:val="00313EDD"/>
    <w:rsid w:val="003204B5"/>
    <w:rsid w:val="0032437A"/>
    <w:rsid w:val="0033406A"/>
    <w:rsid w:val="00335F9B"/>
    <w:rsid w:val="003378E8"/>
    <w:rsid w:val="00342F1F"/>
    <w:rsid w:val="00366FC5"/>
    <w:rsid w:val="00371DB8"/>
    <w:rsid w:val="003754D9"/>
    <w:rsid w:val="0039097F"/>
    <w:rsid w:val="0039406E"/>
    <w:rsid w:val="003976AC"/>
    <w:rsid w:val="003A1306"/>
    <w:rsid w:val="003A17D2"/>
    <w:rsid w:val="003B5F1D"/>
    <w:rsid w:val="003E344A"/>
    <w:rsid w:val="003E5362"/>
    <w:rsid w:val="004052B5"/>
    <w:rsid w:val="00417014"/>
    <w:rsid w:val="0042439C"/>
    <w:rsid w:val="00454B01"/>
    <w:rsid w:val="004811DE"/>
    <w:rsid w:val="00491016"/>
    <w:rsid w:val="004A45D8"/>
    <w:rsid w:val="004B6ED6"/>
    <w:rsid w:val="004C6A87"/>
    <w:rsid w:val="004F419E"/>
    <w:rsid w:val="00503489"/>
    <w:rsid w:val="00522E38"/>
    <w:rsid w:val="00546463"/>
    <w:rsid w:val="00561716"/>
    <w:rsid w:val="00585B89"/>
    <w:rsid w:val="00594ED4"/>
    <w:rsid w:val="005A1CA5"/>
    <w:rsid w:val="005A1F26"/>
    <w:rsid w:val="005C22C0"/>
    <w:rsid w:val="005E1DA6"/>
    <w:rsid w:val="005E3A55"/>
    <w:rsid w:val="005E68E7"/>
    <w:rsid w:val="005E6B49"/>
    <w:rsid w:val="005F7338"/>
    <w:rsid w:val="0060075D"/>
    <w:rsid w:val="00600E83"/>
    <w:rsid w:val="006055E8"/>
    <w:rsid w:val="006229DC"/>
    <w:rsid w:val="00622DC2"/>
    <w:rsid w:val="00625370"/>
    <w:rsid w:val="00651A23"/>
    <w:rsid w:val="0065692C"/>
    <w:rsid w:val="00666851"/>
    <w:rsid w:val="0067614E"/>
    <w:rsid w:val="006A0E49"/>
    <w:rsid w:val="006A6275"/>
    <w:rsid w:val="006B4F2E"/>
    <w:rsid w:val="006B6199"/>
    <w:rsid w:val="006B734A"/>
    <w:rsid w:val="006E0291"/>
    <w:rsid w:val="006E13A0"/>
    <w:rsid w:val="0071190A"/>
    <w:rsid w:val="00712963"/>
    <w:rsid w:val="00726CBA"/>
    <w:rsid w:val="0073038B"/>
    <w:rsid w:val="0076458B"/>
    <w:rsid w:val="00764E4B"/>
    <w:rsid w:val="007A6F1C"/>
    <w:rsid w:val="007B535A"/>
    <w:rsid w:val="007C03B8"/>
    <w:rsid w:val="007D11CA"/>
    <w:rsid w:val="007E497F"/>
    <w:rsid w:val="008029A1"/>
    <w:rsid w:val="00842E66"/>
    <w:rsid w:val="008550A4"/>
    <w:rsid w:val="00866990"/>
    <w:rsid w:val="00874A40"/>
    <w:rsid w:val="00881E1F"/>
    <w:rsid w:val="00886CDD"/>
    <w:rsid w:val="0089067B"/>
    <w:rsid w:val="00895696"/>
    <w:rsid w:val="008C3566"/>
    <w:rsid w:val="008F4409"/>
    <w:rsid w:val="00942A0C"/>
    <w:rsid w:val="009672C1"/>
    <w:rsid w:val="00985D80"/>
    <w:rsid w:val="009A006C"/>
    <w:rsid w:val="009A578B"/>
    <w:rsid w:val="009B0AA0"/>
    <w:rsid w:val="009B3C92"/>
    <w:rsid w:val="009E49E6"/>
    <w:rsid w:val="009E6EFC"/>
    <w:rsid w:val="009F0AF7"/>
    <w:rsid w:val="00A037A2"/>
    <w:rsid w:val="00A0741C"/>
    <w:rsid w:val="00A26A2B"/>
    <w:rsid w:val="00A3243F"/>
    <w:rsid w:val="00A46041"/>
    <w:rsid w:val="00A46328"/>
    <w:rsid w:val="00A53D1C"/>
    <w:rsid w:val="00A55923"/>
    <w:rsid w:val="00A65BE5"/>
    <w:rsid w:val="00A84707"/>
    <w:rsid w:val="00A857B9"/>
    <w:rsid w:val="00A93DD9"/>
    <w:rsid w:val="00AA05E7"/>
    <w:rsid w:val="00AB224E"/>
    <w:rsid w:val="00AB3832"/>
    <w:rsid w:val="00AC271A"/>
    <w:rsid w:val="00AC755F"/>
    <w:rsid w:val="00AD0C33"/>
    <w:rsid w:val="00AD13D7"/>
    <w:rsid w:val="00AD60FA"/>
    <w:rsid w:val="00AE7B17"/>
    <w:rsid w:val="00AF374A"/>
    <w:rsid w:val="00B00FEC"/>
    <w:rsid w:val="00B15591"/>
    <w:rsid w:val="00B21677"/>
    <w:rsid w:val="00B36BCC"/>
    <w:rsid w:val="00B749E8"/>
    <w:rsid w:val="00BA060D"/>
    <w:rsid w:val="00BB3009"/>
    <w:rsid w:val="00BC7367"/>
    <w:rsid w:val="00BD0C1B"/>
    <w:rsid w:val="00BD1D60"/>
    <w:rsid w:val="00BD2897"/>
    <w:rsid w:val="00BD3D76"/>
    <w:rsid w:val="00BE2C04"/>
    <w:rsid w:val="00BF488A"/>
    <w:rsid w:val="00C005BB"/>
    <w:rsid w:val="00C02E5C"/>
    <w:rsid w:val="00C05D08"/>
    <w:rsid w:val="00C20AF6"/>
    <w:rsid w:val="00C230BC"/>
    <w:rsid w:val="00C40FCE"/>
    <w:rsid w:val="00C51A8A"/>
    <w:rsid w:val="00C5464F"/>
    <w:rsid w:val="00C709A1"/>
    <w:rsid w:val="00C812FE"/>
    <w:rsid w:val="00C816E5"/>
    <w:rsid w:val="00C8436A"/>
    <w:rsid w:val="00C93280"/>
    <w:rsid w:val="00CA02EE"/>
    <w:rsid w:val="00CB2311"/>
    <w:rsid w:val="00CE663A"/>
    <w:rsid w:val="00CF76B6"/>
    <w:rsid w:val="00D1267E"/>
    <w:rsid w:val="00D279CE"/>
    <w:rsid w:val="00D32E6C"/>
    <w:rsid w:val="00D348E3"/>
    <w:rsid w:val="00D50C39"/>
    <w:rsid w:val="00D6360B"/>
    <w:rsid w:val="00D80449"/>
    <w:rsid w:val="00D8324A"/>
    <w:rsid w:val="00DB0A0C"/>
    <w:rsid w:val="00DC2A85"/>
    <w:rsid w:val="00DE64A6"/>
    <w:rsid w:val="00DE65AD"/>
    <w:rsid w:val="00DE6DB4"/>
    <w:rsid w:val="00DF1645"/>
    <w:rsid w:val="00E058C8"/>
    <w:rsid w:val="00E210C9"/>
    <w:rsid w:val="00E22F9D"/>
    <w:rsid w:val="00E27D0A"/>
    <w:rsid w:val="00E32C0E"/>
    <w:rsid w:val="00E37B0E"/>
    <w:rsid w:val="00E40AAC"/>
    <w:rsid w:val="00E425F0"/>
    <w:rsid w:val="00E828C0"/>
    <w:rsid w:val="00E96162"/>
    <w:rsid w:val="00EA223C"/>
    <w:rsid w:val="00EA4ACD"/>
    <w:rsid w:val="00EB29FC"/>
    <w:rsid w:val="00EB6860"/>
    <w:rsid w:val="00EB7B95"/>
    <w:rsid w:val="00ED084A"/>
    <w:rsid w:val="00ED43FC"/>
    <w:rsid w:val="00EE63B3"/>
    <w:rsid w:val="00F0416F"/>
    <w:rsid w:val="00F247D9"/>
    <w:rsid w:val="00F31979"/>
    <w:rsid w:val="00F511DA"/>
    <w:rsid w:val="00F6360F"/>
    <w:rsid w:val="00F67ADB"/>
    <w:rsid w:val="00F82A72"/>
    <w:rsid w:val="00F857CC"/>
    <w:rsid w:val="00F93B3A"/>
    <w:rsid w:val="00F96AC3"/>
    <w:rsid w:val="00FD6B7A"/>
    <w:rsid w:val="00FE2827"/>
    <w:rsid w:val="00FE47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pPr>
      <w:keepNext/>
      <w:jc w:val="center"/>
      <w:outlineLvl w:val="0"/>
    </w:pPr>
    <w:rPr>
      <w:rFonts w:ascii="Garamond" w:hAnsi="Garamond"/>
      <w:b/>
      <w:bCs/>
      <w:sz w:val="48"/>
      <w:lang w:val="x-none" w:eastAsia="x-none"/>
    </w:rPr>
  </w:style>
  <w:style w:type="paragraph" w:styleId="Heading2">
    <w:name w:val="heading 2"/>
    <w:basedOn w:val="Normal"/>
    <w:next w:val="Normal"/>
    <w:link w:val="Heading2Char"/>
    <w:uiPriority w:val="9"/>
    <w:semiHidden/>
    <w:unhideWhenUsed/>
    <w:qFormat/>
    <w:rsid w:val="00C20AF6"/>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uiPriority w:val="9"/>
    <w:unhideWhenUsed/>
    <w:qFormat/>
    <w:rsid w:val="00F511DA"/>
    <w:pPr>
      <w:keepNext/>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uiPriority w:val="9"/>
    <w:unhideWhenUsed/>
    <w:qFormat/>
    <w:rsid w:val="00F511DA"/>
    <w:pPr>
      <w:keepNext/>
      <w:spacing w:before="240" w:after="60"/>
      <w:outlineLvl w:val="3"/>
    </w:pPr>
    <w:rPr>
      <w:rFonts w:ascii="Calibri" w:hAnsi="Calibri"/>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b/>
      <w:bCs/>
      <w:strike w:val="0"/>
      <w:dstrike w:val="0"/>
      <w:color w:val="CC6633"/>
      <w:u w:val="none"/>
      <w:effect w:val="none"/>
      <w:bdr w:val="none" w:sz="0" w:space="0" w:color="auto" w:frame="1"/>
    </w:rPr>
  </w:style>
  <w:style w:type="paragraph" w:styleId="NormalWeb">
    <w:name w:val="Normal (Web)"/>
    <w:basedOn w:val="Normal"/>
    <w:semiHidden/>
    <w:pPr>
      <w:spacing w:before="100" w:beforeAutospacing="1" w:after="100" w:afterAutospacing="1"/>
    </w:pPr>
  </w:style>
  <w:style w:type="character" w:styleId="FollowedHyperlink">
    <w:name w:val="FollowedHyperlink"/>
    <w:semiHidden/>
    <w:rPr>
      <w:color w:val="800080"/>
      <w:u w:val="single"/>
    </w:rPr>
  </w:style>
  <w:style w:type="paragraph" w:styleId="ListParagraph">
    <w:name w:val="List Paragraph"/>
    <w:basedOn w:val="Normal"/>
    <w:uiPriority w:val="99"/>
    <w:qFormat/>
    <w:rsid w:val="00625370"/>
    <w:pPr>
      <w:ind w:left="720"/>
    </w:pPr>
  </w:style>
  <w:style w:type="paragraph" w:styleId="Header">
    <w:name w:val="header"/>
    <w:basedOn w:val="Normal"/>
    <w:link w:val="HeaderChar"/>
    <w:uiPriority w:val="99"/>
    <w:unhideWhenUsed/>
    <w:rsid w:val="00C02E5C"/>
    <w:pPr>
      <w:tabs>
        <w:tab w:val="center" w:pos="4680"/>
        <w:tab w:val="right" w:pos="9360"/>
      </w:tabs>
    </w:pPr>
    <w:rPr>
      <w:lang w:val="x-none" w:eastAsia="x-none"/>
    </w:rPr>
  </w:style>
  <w:style w:type="character" w:customStyle="1" w:styleId="HeaderChar">
    <w:name w:val="Header Char"/>
    <w:link w:val="Header"/>
    <w:uiPriority w:val="99"/>
    <w:rsid w:val="00C02E5C"/>
    <w:rPr>
      <w:sz w:val="24"/>
      <w:szCs w:val="24"/>
    </w:rPr>
  </w:style>
  <w:style w:type="paragraph" w:styleId="Footer">
    <w:name w:val="footer"/>
    <w:basedOn w:val="Normal"/>
    <w:link w:val="FooterChar"/>
    <w:uiPriority w:val="99"/>
    <w:unhideWhenUsed/>
    <w:rsid w:val="00C02E5C"/>
    <w:pPr>
      <w:tabs>
        <w:tab w:val="center" w:pos="4680"/>
        <w:tab w:val="right" w:pos="9360"/>
      </w:tabs>
    </w:pPr>
    <w:rPr>
      <w:lang w:val="x-none" w:eastAsia="x-none"/>
    </w:rPr>
  </w:style>
  <w:style w:type="character" w:customStyle="1" w:styleId="FooterChar">
    <w:name w:val="Footer Char"/>
    <w:link w:val="Footer"/>
    <w:uiPriority w:val="99"/>
    <w:rsid w:val="00C02E5C"/>
    <w:rPr>
      <w:sz w:val="24"/>
      <w:szCs w:val="24"/>
    </w:rPr>
  </w:style>
  <w:style w:type="paragraph" w:styleId="BalloonText">
    <w:name w:val="Balloon Text"/>
    <w:basedOn w:val="Normal"/>
    <w:link w:val="BalloonTextChar"/>
    <w:uiPriority w:val="99"/>
    <w:semiHidden/>
    <w:unhideWhenUsed/>
    <w:rsid w:val="001436F3"/>
    <w:rPr>
      <w:rFonts w:ascii="Tahoma" w:hAnsi="Tahoma"/>
      <w:sz w:val="16"/>
      <w:szCs w:val="16"/>
      <w:lang w:val="x-none" w:eastAsia="x-none"/>
    </w:rPr>
  </w:style>
  <w:style w:type="character" w:customStyle="1" w:styleId="BalloonTextChar">
    <w:name w:val="Balloon Text Char"/>
    <w:link w:val="BalloonText"/>
    <w:uiPriority w:val="99"/>
    <w:semiHidden/>
    <w:rsid w:val="001436F3"/>
    <w:rPr>
      <w:rFonts w:ascii="Tahoma" w:hAnsi="Tahoma" w:cs="Tahoma"/>
      <w:sz w:val="16"/>
      <w:szCs w:val="16"/>
    </w:rPr>
  </w:style>
  <w:style w:type="character" w:customStyle="1" w:styleId="Heading2Char">
    <w:name w:val="Heading 2 Char"/>
    <w:link w:val="Heading2"/>
    <w:uiPriority w:val="9"/>
    <w:semiHidden/>
    <w:rsid w:val="00C20AF6"/>
    <w:rPr>
      <w:rFonts w:ascii="Cambria" w:eastAsia="Times New Roman" w:hAnsi="Cambria" w:cs="Times New Roman"/>
      <w:b/>
      <w:bCs/>
      <w:i/>
      <w:iCs/>
      <w:sz w:val="28"/>
      <w:szCs w:val="28"/>
    </w:rPr>
  </w:style>
  <w:style w:type="paragraph" w:styleId="BodyText">
    <w:name w:val="Body Text"/>
    <w:basedOn w:val="Normal"/>
    <w:link w:val="BodyTextChar"/>
    <w:uiPriority w:val="99"/>
    <w:rsid w:val="00C20AF6"/>
    <w:rPr>
      <w:rFonts w:ascii="Comic Sans MS" w:hAnsi="Comic Sans MS"/>
      <w:b/>
      <w:bCs/>
      <w:lang w:val="x-none" w:eastAsia="x-none"/>
    </w:rPr>
  </w:style>
  <w:style w:type="character" w:customStyle="1" w:styleId="BodyTextChar">
    <w:name w:val="Body Text Char"/>
    <w:link w:val="BodyText"/>
    <w:uiPriority w:val="99"/>
    <w:rsid w:val="00C20AF6"/>
    <w:rPr>
      <w:rFonts w:ascii="Comic Sans MS" w:eastAsia="Times New Roman" w:hAnsi="Comic Sans MS" w:cs="Comic Sans MS"/>
      <w:b/>
      <w:bCs/>
      <w:sz w:val="24"/>
      <w:szCs w:val="24"/>
    </w:rPr>
  </w:style>
  <w:style w:type="character" w:customStyle="1" w:styleId="Heading3Char">
    <w:name w:val="Heading 3 Char"/>
    <w:link w:val="Heading3"/>
    <w:uiPriority w:val="9"/>
    <w:rsid w:val="00F511DA"/>
    <w:rPr>
      <w:rFonts w:ascii="Cambria" w:eastAsia="Times New Roman" w:hAnsi="Cambria" w:cs="Times New Roman"/>
      <w:b/>
      <w:bCs/>
      <w:sz w:val="26"/>
      <w:szCs w:val="26"/>
    </w:rPr>
  </w:style>
  <w:style w:type="character" w:customStyle="1" w:styleId="Heading4Char">
    <w:name w:val="Heading 4 Char"/>
    <w:link w:val="Heading4"/>
    <w:uiPriority w:val="9"/>
    <w:rsid w:val="00F511DA"/>
    <w:rPr>
      <w:rFonts w:ascii="Calibri" w:eastAsia="Times New Roman" w:hAnsi="Calibri" w:cs="Times New Roman"/>
      <w:b/>
      <w:bCs/>
      <w:sz w:val="28"/>
      <w:szCs w:val="28"/>
    </w:rPr>
  </w:style>
  <w:style w:type="character" w:styleId="Strong">
    <w:name w:val="Strong"/>
    <w:uiPriority w:val="22"/>
    <w:qFormat/>
    <w:rsid w:val="00E40AAC"/>
    <w:rPr>
      <w:b/>
      <w:bCs/>
    </w:rPr>
  </w:style>
  <w:style w:type="character" w:customStyle="1" w:styleId="Heading1Char">
    <w:name w:val="Heading 1 Char"/>
    <w:link w:val="Heading1"/>
    <w:rsid w:val="00163D6D"/>
    <w:rPr>
      <w:rFonts w:ascii="Garamond" w:hAnsi="Garamond"/>
      <w:b/>
      <w:bCs/>
      <w:sz w:val="4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pPr>
      <w:keepNext/>
      <w:jc w:val="center"/>
      <w:outlineLvl w:val="0"/>
    </w:pPr>
    <w:rPr>
      <w:rFonts w:ascii="Garamond" w:hAnsi="Garamond"/>
      <w:b/>
      <w:bCs/>
      <w:sz w:val="48"/>
      <w:lang w:val="x-none" w:eastAsia="x-none"/>
    </w:rPr>
  </w:style>
  <w:style w:type="paragraph" w:styleId="Heading2">
    <w:name w:val="heading 2"/>
    <w:basedOn w:val="Normal"/>
    <w:next w:val="Normal"/>
    <w:link w:val="Heading2Char"/>
    <w:uiPriority w:val="9"/>
    <w:semiHidden/>
    <w:unhideWhenUsed/>
    <w:qFormat/>
    <w:rsid w:val="00C20AF6"/>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uiPriority w:val="9"/>
    <w:unhideWhenUsed/>
    <w:qFormat/>
    <w:rsid w:val="00F511DA"/>
    <w:pPr>
      <w:keepNext/>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uiPriority w:val="9"/>
    <w:unhideWhenUsed/>
    <w:qFormat/>
    <w:rsid w:val="00F511DA"/>
    <w:pPr>
      <w:keepNext/>
      <w:spacing w:before="240" w:after="60"/>
      <w:outlineLvl w:val="3"/>
    </w:pPr>
    <w:rPr>
      <w:rFonts w:ascii="Calibri" w:hAnsi="Calibri"/>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b/>
      <w:bCs/>
      <w:strike w:val="0"/>
      <w:dstrike w:val="0"/>
      <w:color w:val="CC6633"/>
      <w:u w:val="none"/>
      <w:effect w:val="none"/>
      <w:bdr w:val="none" w:sz="0" w:space="0" w:color="auto" w:frame="1"/>
    </w:rPr>
  </w:style>
  <w:style w:type="paragraph" w:styleId="NormalWeb">
    <w:name w:val="Normal (Web)"/>
    <w:basedOn w:val="Normal"/>
    <w:semiHidden/>
    <w:pPr>
      <w:spacing w:before="100" w:beforeAutospacing="1" w:after="100" w:afterAutospacing="1"/>
    </w:pPr>
  </w:style>
  <w:style w:type="character" w:styleId="FollowedHyperlink">
    <w:name w:val="FollowedHyperlink"/>
    <w:semiHidden/>
    <w:rPr>
      <w:color w:val="800080"/>
      <w:u w:val="single"/>
    </w:rPr>
  </w:style>
  <w:style w:type="paragraph" w:styleId="ListParagraph">
    <w:name w:val="List Paragraph"/>
    <w:basedOn w:val="Normal"/>
    <w:uiPriority w:val="99"/>
    <w:qFormat/>
    <w:rsid w:val="00625370"/>
    <w:pPr>
      <w:ind w:left="720"/>
    </w:pPr>
  </w:style>
  <w:style w:type="paragraph" w:styleId="Header">
    <w:name w:val="header"/>
    <w:basedOn w:val="Normal"/>
    <w:link w:val="HeaderChar"/>
    <w:uiPriority w:val="99"/>
    <w:unhideWhenUsed/>
    <w:rsid w:val="00C02E5C"/>
    <w:pPr>
      <w:tabs>
        <w:tab w:val="center" w:pos="4680"/>
        <w:tab w:val="right" w:pos="9360"/>
      </w:tabs>
    </w:pPr>
    <w:rPr>
      <w:lang w:val="x-none" w:eastAsia="x-none"/>
    </w:rPr>
  </w:style>
  <w:style w:type="character" w:customStyle="1" w:styleId="HeaderChar">
    <w:name w:val="Header Char"/>
    <w:link w:val="Header"/>
    <w:uiPriority w:val="99"/>
    <w:rsid w:val="00C02E5C"/>
    <w:rPr>
      <w:sz w:val="24"/>
      <w:szCs w:val="24"/>
    </w:rPr>
  </w:style>
  <w:style w:type="paragraph" w:styleId="Footer">
    <w:name w:val="footer"/>
    <w:basedOn w:val="Normal"/>
    <w:link w:val="FooterChar"/>
    <w:uiPriority w:val="99"/>
    <w:unhideWhenUsed/>
    <w:rsid w:val="00C02E5C"/>
    <w:pPr>
      <w:tabs>
        <w:tab w:val="center" w:pos="4680"/>
        <w:tab w:val="right" w:pos="9360"/>
      </w:tabs>
    </w:pPr>
    <w:rPr>
      <w:lang w:val="x-none" w:eastAsia="x-none"/>
    </w:rPr>
  </w:style>
  <w:style w:type="character" w:customStyle="1" w:styleId="FooterChar">
    <w:name w:val="Footer Char"/>
    <w:link w:val="Footer"/>
    <w:uiPriority w:val="99"/>
    <w:rsid w:val="00C02E5C"/>
    <w:rPr>
      <w:sz w:val="24"/>
      <w:szCs w:val="24"/>
    </w:rPr>
  </w:style>
  <w:style w:type="paragraph" w:styleId="BalloonText">
    <w:name w:val="Balloon Text"/>
    <w:basedOn w:val="Normal"/>
    <w:link w:val="BalloonTextChar"/>
    <w:uiPriority w:val="99"/>
    <w:semiHidden/>
    <w:unhideWhenUsed/>
    <w:rsid w:val="001436F3"/>
    <w:rPr>
      <w:rFonts w:ascii="Tahoma" w:hAnsi="Tahoma"/>
      <w:sz w:val="16"/>
      <w:szCs w:val="16"/>
      <w:lang w:val="x-none" w:eastAsia="x-none"/>
    </w:rPr>
  </w:style>
  <w:style w:type="character" w:customStyle="1" w:styleId="BalloonTextChar">
    <w:name w:val="Balloon Text Char"/>
    <w:link w:val="BalloonText"/>
    <w:uiPriority w:val="99"/>
    <w:semiHidden/>
    <w:rsid w:val="001436F3"/>
    <w:rPr>
      <w:rFonts w:ascii="Tahoma" w:hAnsi="Tahoma" w:cs="Tahoma"/>
      <w:sz w:val="16"/>
      <w:szCs w:val="16"/>
    </w:rPr>
  </w:style>
  <w:style w:type="character" w:customStyle="1" w:styleId="Heading2Char">
    <w:name w:val="Heading 2 Char"/>
    <w:link w:val="Heading2"/>
    <w:uiPriority w:val="9"/>
    <w:semiHidden/>
    <w:rsid w:val="00C20AF6"/>
    <w:rPr>
      <w:rFonts w:ascii="Cambria" w:eastAsia="Times New Roman" w:hAnsi="Cambria" w:cs="Times New Roman"/>
      <w:b/>
      <w:bCs/>
      <w:i/>
      <w:iCs/>
      <w:sz w:val="28"/>
      <w:szCs w:val="28"/>
    </w:rPr>
  </w:style>
  <w:style w:type="paragraph" w:styleId="BodyText">
    <w:name w:val="Body Text"/>
    <w:basedOn w:val="Normal"/>
    <w:link w:val="BodyTextChar"/>
    <w:uiPriority w:val="99"/>
    <w:rsid w:val="00C20AF6"/>
    <w:rPr>
      <w:rFonts w:ascii="Comic Sans MS" w:hAnsi="Comic Sans MS"/>
      <w:b/>
      <w:bCs/>
      <w:lang w:val="x-none" w:eastAsia="x-none"/>
    </w:rPr>
  </w:style>
  <w:style w:type="character" w:customStyle="1" w:styleId="BodyTextChar">
    <w:name w:val="Body Text Char"/>
    <w:link w:val="BodyText"/>
    <w:uiPriority w:val="99"/>
    <w:rsid w:val="00C20AF6"/>
    <w:rPr>
      <w:rFonts w:ascii="Comic Sans MS" w:eastAsia="Times New Roman" w:hAnsi="Comic Sans MS" w:cs="Comic Sans MS"/>
      <w:b/>
      <w:bCs/>
      <w:sz w:val="24"/>
      <w:szCs w:val="24"/>
    </w:rPr>
  </w:style>
  <w:style w:type="character" w:customStyle="1" w:styleId="Heading3Char">
    <w:name w:val="Heading 3 Char"/>
    <w:link w:val="Heading3"/>
    <w:uiPriority w:val="9"/>
    <w:rsid w:val="00F511DA"/>
    <w:rPr>
      <w:rFonts w:ascii="Cambria" w:eastAsia="Times New Roman" w:hAnsi="Cambria" w:cs="Times New Roman"/>
      <w:b/>
      <w:bCs/>
      <w:sz w:val="26"/>
      <w:szCs w:val="26"/>
    </w:rPr>
  </w:style>
  <w:style w:type="character" w:customStyle="1" w:styleId="Heading4Char">
    <w:name w:val="Heading 4 Char"/>
    <w:link w:val="Heading4"/>
    <w:uiPriority w:val="9"/>
    <w:rsid w:val="00F511DA"/>
    <w:rPr>
      <w:rFonts w:ascii="Calibri" w:eastAsia="Times New Roman" w:hAnsi="Calibri" w:cs="Times New Roman"/>
      <w:b/>
      <w:bCs/>
      <w:sz w:val="28"/>
      <w:szCs w:val="28"/>
    </w:rPr>
  </w:style>
  <w:style w:type="character" w:styleId="Strong">
    <w:name w:val="Strong"/>
    <w:uiPriority w:val="22"/>
    <w:qFormat/>
    <w:rsid w:val="00E40AAC"/>
    <w:rPr>
      <w:b/>
      <w:bCs/>
    </w:rPr>
  </w:style>
  <w:style w:type="character" w:customStyle="1" w:styleId="Heading1Char">
    <w:name w:val="Heading 1 Char"/>
    <w:link w:val="Heading1"/>
    <w:rsid w:val="00163D6D"/>
    <w:rPr>
      <w:rFonts w:ascii="Garamond" w:hAnsi="Garamond"/>
      <w:b/>
      <w:bCs/>
      <w:sz w:val="4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180074">
      <w:bodyDiv w:val="1"/>
      <w:marLeft w:val="0"/>
      <w:marRight w:val="0"/>
      <w:marTop w:val="0"/>
      <w:marBottom w:val="0"/>
      <w:divBdr>
        <w:top w:val="none" w:sz="0" w:space="0" w:color="auto"/>
        <w:left w:val="none" w:sz="0" w:space="0" w:color="auto"/>
        <w:bottom w:val="none" w:sz="0" w:space="0" w:color="auto"/>
        <w:right w:val="none" w:sz="0" w:space="0" w:color="auto"/>
      </w:divBdr>
    </w:div>
    <w:div w:id="654996365">
      <w:bodyDiv w:val="1"/>
      <w:marLeft w:val="0"/>
      <w:marRight w:val="0"/>
      <w:marTop w:val="0"/>
      <w:marBottom w:val="0"/>
      <w:divBdr>
        <w:top w:val="none" w:sz="0" w:space="0" w:color="auto"/>
        <w:left w:val="none" w:sz="0" w:space="0" w:color="auto"/>
        <w:bottom w:val="none" w:sz="0" w:space="0" w:color="auto"/>
        <w:right w:val="none" w:sz="0" w:space="0" w:color="auto"/>
      </w:divBdr>
    </w:div>
    <w:div w:id="1075054358">
      <w:bodyDiv w:val="1"/>
      <w:marLeft w:val="0"/>
      <w:marRight w:val="0"/>
      <w:marTop w:val="0"/>
      <w:marBottom w:val="0"/>
      <w:divBdr>
        <w:top w:val="none" w:sz="0" w:space="0" w:color="auto"/>
        <w:left w:val="none" w:sz="0" w:space="0" w:color="auto"/>
        <w:bottom w:val="none" w:sz="0" w:space="0" w:color="auto"/>
        <w:right w:val="none" w:sz="0" w:space="0" w:color="auto"/>
      </w:divBdr>
    </w:div>
    <w:div w:id="1211916931">
      <w:bodyDiv w:val="1"/>
      <w:marLeft w:val="0"/>
      <w:marRight w:val="0"/>
      <w:marTop w:val="0"/>
      <w:marBottom w:val="0"/>
      <w:divBdr>
        <w:top w:val="none" w:sz="0" w:space="0" w:color="auto"/>
        <w:left w:val="none" w:sz="0" w:space="0" w:color="auto"/>
        <w:bottom w:val="none" w:sz="0" w:space="0" w:color="auto"/>
        <w:right w:val="none" w:sz="0" w:space="0" w:color="auto"/>
      </w:divBdr>
    </w:div>
    <w:div w:id="1412119978">
      <w:bodyDiv w:val="1"/>
      <w:marLeft w:val="0"/>
      <w:marRight w:val="0"/>
      <w:marTop w:val="0"/>
      <w:marBottom w:val="0"/>
      <w:divBdr>
        <w:top w:val="none" w:sz="0" w:space="0" w:color="auto"/>
        <w:left w:val="none" w:sz="0" w:space="0" w:color="auto"/>
        <w:bottom w:val="none" w:sz="0" w:space="0" w:color="auto"/>
        <w:right w:val="none" w:sz="0" w:space="0" w:color="auto"/>
      </w:divBdr>
    </w:div>
    <w:div w:id="1569535896">
      <w:bodyDiv w:val="1"/>
      <w:marLeft w:val="0"/>
      <w:marRight w:val="0"/>
      <w:marTop w:val="0"/>
      <w:marBottom w:val="0"/>
      <w:divBdr>
        <w:top w:val="none" w:sz="0" w:space="0" w:color="auto"/>
        <w:left w:val="none" w:sz="0" w:space="0" w:color="auto"/>
        <w:bottom w:val="none" w:sz="0" w:space="0" w:color="auto"/>
        <w:right w:val="none" w:sz="0" w:space="0" w:color="auto"/>
      </w:divBdr>
    </w:div>
    <w:div w:id="1690448173">
      <w:bodyDiv w:val="1"/>
      <w:marLeft w:val="0"/>
      <w:marRight w:val="0"/>
      <w:marTop w:val="0"/>
      <w:marBottom w:val="0"/>
      <w:divBdr>
        <w:top w:val="none" w:sz="0" w:space="0" w:color="auto"/>
        <w:left w:val="none" w:sz="0" w:space="0" w:color="auto"/>
        <w:bottom w:val="none" w:sz="0" w:space="0" w:color="auto"/>
        <w:right w:val="none" w:sz="0" w:space="0" w:color="auto"/>
      </w:divBdr>
    </w:div>
    <w:div w:id="1809853839">
      <w:bodyDiv w:val="1"/>
      <w:marLeft w:val="0"/>
      <w:marRight w:val="0"/>
      <w:marTop w:val="0"/>
      <w:marBottom w:val="0"/>
      <w:divBdr>
        <w:top w:val="none" w:sz="0" w:space="0" w:color="auto"/>
        <w:left w:val="none" w:sz="0" w:space="0" w:color="auto"/>
        <w:bottom w:val="none" w:sz="0" w:space="0" w:color="auto"/>
        <w:right w:val="none" w:sz="0" w:space="0" w:color="auto"/>
      </w:divBdr>
    </w:div>
    <w:div w:id="1941335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curry@ccp.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quinn@ccp.ed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http://www.ccp.edu/site/gifs/logo.gif"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8E255B-5931-4DF3-9457-B4508C72D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1393</Words>
  <Characters>7946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Welcome to</vt:lpstr>
    </vt:vector>
  </TitlesOfParts>
  <Company>Varnum Riddering Schmidt &amp; Howlett LLP</Company>
  <LinksUpToDate>false</LinksUpToDate>
  <CharactersWithSpaces>9321</CharactersWithSpaces>
  <SharedDoc>false</SharedDoc>
  <HLinks>
    <vt:vector size="18" baseType="variant">
      <vt:variant>
        <vt:i4>7274580</vt:i4>
      </vt:variant>
      <vt:variant>
        <vt:i4>3</vt:i4>
      </vt:variant>
      <vt:variant>
        <vt:i4>0</vt:i4>
      </vt:variant>
      <vt:variant>
        <vt:i4>5</vt:i4>
      </vt:variant>
      <vt:variant>
        <vt:lpwstr>mailto:ccurry@ccp.edu</vt:lpwstr>
      </vt:variant>
      <vt:variant>
        <vt:lpwstr/>
      </vt:variant>
      <vt:variant>
        <vt:i4>6553674</vt:i4>
      </vt:variant>
      <vt:variant>
        <vt:i4>0</vt:i4>
      </vt:variant>
      <vt:variant>
        <vt:i4>0</vt:i4>
      </vt:variant>
      <vt:variant>
        <vt:i4>5</vt:i4>
      </vt:variant>
      <vt:variant>
        <vt:lpwstr>mailto:tquinn@ccp.edu</vt:lpwstr>
      </vt:variant>
      <vt:variant>
        <vt:lpwstr/>
      </vt:variant>
      <vt:variant>
        <vt:i4>5636115</vt:i4>
      </vt:variant>
      <vt:variant>
        <vt:i4>-1</vt:i4>
      </vt:variant>
      <vt:variant>
        <vt:i4>1026</vt:i4>
      </vt:variant>
      <vt:variant>
        <vt:i4>1</vt:i4>
      </vt:variant>
      <vt:variant>
        <vt:lpwstr>http://www.ccp.edu/site/gifs/logo.gif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Welcome to</dc:title>
  <dc:creator>Varnum</dc:creator>
  <cp:lastModifiedBy>Tom Sr</cp:lastModifiedBy>
  <cp:revision>2</cp:revision>
  <cp:lastPrinted>2013-05-08T15:43:00Z</cp:lastPrinted>
  <dcterms:created xsi:type="dcterms:W3CDTF">2014-05-06T15:22:00Z</dcterms:created>
  <dcterms:modified xsi:type="dcterms:W3CDTF">2014-05-06T15:22:00Z</dcterms:modified>
</cp:coreProperties>
</file>